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9FD17" w14:textId="77777777" w:rsidR="0034202B" w:rsidRDefault="008E789D" w:rsidP="00E0439E">
      <w:pPr>
        <w:pBdr>
          <w:bottom w:val="single" w:sz="36" w:space="1" w:color="auto"/>
        </w:pBdr>
        <w:spacing w:after="120"/>
        <w:rPr>
          <w:rFonts w:asciiTheme="minorHAnsi" w:hAnsiTheme="minorHAnsi"/>
          <w:b/>
          <w:sz w:val="36"/>
          <w:szCs w:val="36"/>
        </w:rPr>
      </w:pPr>
      <w:r>
        <w:rPr>
          <w:rFonts w:asciiTheme="minorHAnsi" w:hAnsiTheme="minorHAnsi"/>
          <w:b/>
          <w:sz w:val="36"/>
          <w:szCs w:val="36"/>
        </w:rPr>
        <w:t>MEMORA</w:t>
      </w:r>
      <w:r w:rsidR="00461420">
        <w:rPr>
          <w:rFonts w:asciiTheme="minorHAnsi" w:hAnsiTheme="minorHAnsi"/>
          <w:b/>
          <w:sz w:val="36"/>
          <w:szCs w:val="36"/>
        </w:rPr>
        <w:t>N</w:t>
      </w:r>
      <w:r>
        <w:rPr>
          <w:rFonts w:asciiTheme="minorHAnsi" w:hAnsiTheme="minorHAnsi"/>
          <w:b/>
          <w:sz w:val="36"/>
          <w:szCs w:val="36"/>
        </w:rPr>
        <w:t>DUM</w:t>
      </w:r>
    </w:p>
    <w:p w14:paraId="515F3917" w14:textId="77777777" w:rsidR="00E0439E" w:rsidRPr="0079429B" w:rsidRDefault="00E0439E" w:rsidP="00E0439E">
      <w:pPr>
        <w:pBdr>
          <w:bottom w:val="single" w:sz="36" w:space="1" w:color="auto"/>
        </w:pBdr>
        <w:spacing w:after="120"/>
        <w:rPr>
          <w:rFonts w:asciiTheme="minorHAnsi" w:hAnsiTheme="minorHAnsi"/>
          <w:b/>
          <w:sz w:val="36"/>
          <w:szCs w:val="36"/>
        </w:rPr>
      </w:pPr>
      <w:r w:rsidRPr="0079429B">
        <w:rPr>
          <w:rFonts w:asciiTheme="minorHAnsi" w:hAnsiTheme="minorHAnsi"/>
          <w:b/>
          <w:sz w:val="36"/>
          <w:szCs w:val="36"/>
        </w:rPr>
        <w:t xml:space="preserve">Oregon </w:t>
      </w:r>
      <w:r w:rsidR="008E789D">
        <w:rPr>
          <w:rFonts w:asciiTheme="minorHAnsi" w:hAnsiTheme="minorHAnsi"/>
          <w:b/>
          <w:sz w:val="36"/>
          <w:szCs w:val="36"/>
        </w:rPr>
        <w:t xml:space="preserve">State </w:t>
      </w:r>
      <w:r w:rsidRPr="0079429B">
        <w:rPr>
          <w:rFonts w:asciiTheme="minorHAnsi" w:hAnsiTheme="minorHAnsi"/>
          <w:b/>
          <w:sz w:val="36"/>
          <w:szCs w:val="36"/>
        </w:rPr>
        <w:t>Board of Bar Examiners</w:t>
      </w:r>
    </w:p>
    <w:p w14:paraId="4D1E0A1C" w14:textId="77777777" w:rsidR="006A68CE" w:rsidRPr="008E789D" w:rsidRDefault="00E0439E" w:rsidP="007F672D">
      <w:pPr>
        <w:pBdr>
          <w:bottom w:val="single" w:sz="6" w:space="1" w:color="auto"/>
        </w:pBdr>
        <w:tabs>
          <w:tab w:val="clear" w:pos="720"/>
          <w:tab w:val="clear" w:pos="1440"/>
          <w:tab w:val="clear" w:pos="2160"/>
          <w:tab w:val="left" w:pos="-2070"/>
          <w:tab w:val="left" w:pos="-1980"/>
          <w:tab w:val="left" w:pos="1800"/>
        </w:tabs>
        <w:ind w:left="1800" w:hanging="1800"/>
        <w:rPr>
          <w:rFonts w:asciiTheme="minorHAnsi" w:hAnsiTheme="minorHAnsi"/>
          <w:szCs w:val="24"/>
        </w:rPr>
      </w:pPr>
      <w:r w:rsidRPr="0079429B">
        <w:rPr>
          <w:rFonts w:asciiTheme="minorHAnsi" w:hAnsiTheme="minorHAnsi"/>
          <w:b/>
          <w:szCs w:val="24"/>
        </w:rPr>
        <w:t>To:</w:t>
      </w:r>
      <w:r w:rsidR="00A9690F">
        <w:rPr>
          <w:rFonts w:asciiTheme="minorHAnsi" w:hAnsiTheme="minorHAnsi"/>
          <w:b/>
          <w:szCs w:val="24"/>
        </w:rPr>
        <w:t xml:space="preserve"> </w:t>
      </w:r>
      <w:r w:rsidR="00A9690F">
        <w:rPr>
          <w:rFonts w:asciiTheme="minorHAnsi" w:hAnsiTheme="minorHAnsi"/>
          <w:b/>
          <w:szCs w:val="24"/>
        </w:rPr>
        <w:tab/>
      </w:r>
      <w:r w:rsidR="008E789D">
        <w:rPr>
          <w:rFonts w:asciiTheme="minorHAnsi" w:hAnsiTheme="minorHAnsi"/>
          <w:szCs w:val="24"/>
        </w:rPr>
        <w:t xml:space="preserve">Dr. Mark Baskerville; Elizabeth Davis; David </w:t>
      </w:r>
      <w:proofErr w:type="spellStart"/>
      <w:r w:rsidR="008E789D">
        <w:rPr>
          <w:rFonts w:asciiTheme="minorHAnsi" w:hAnsiTheme="minorHAnsi"/>
          <w:szCs w:val="24"/>
        </w:rPr>
        <w:t>Elkanich</w:t>
      </w:r>
      <w:proofErr w:type="spellEnd"/>
      <w:r w:rsidR="008E789D">
        <w:rPr>
          <w:rFonts w:asciiTheme="minorHAnsi" w:hAnsiTheme="minorHAnsi"/>
          <w:szCs w:val="24"/>
        </w:rPr>
        <w:t>;</w:t>
      </w:r>
      <w:r w:rsidR="007F672D">
        <w:rPr>
          <w:rFonts w:asciiTheme="minorHAnsi" w:hAnsiTheme="minorHAnsi"/>
          <w:szCs w:val="24"/>
        </w:rPr>
        <w:t xml:space="preserve"> Bob </w:t>
      </w:r>
      <w:proofErr w:type="spellStart"/>
      <w:r w:rsidR="007F672D">
        <w:rPr>
          <w:rFonts w:asciiTheme="minorHAnsi" w:hAnsiTheme="minorHAnsi"/>
          <w:szCs w:val="24"/>
        </w:rPr>
        <w:t>Joondeph</w:t>
      </w:r>
      <w:proofErr w:type="spellEnd"/>
      <w:r w:rsidR="007F672D">
        <w:rPr>
          <w:rFonts w:asciiTheme="minorHAnsi" w:hAnsiTheme="minorHAnsi"/>
          <w:szCs w:val="24"/>
        </w:rPr>
        <w:t>; Justice Rives Kistler; Richard Kolbell, Ph. D.; Cassandra McLeod-Skinner; Patricia Nation; Vanessa Nordyke; Joanna Perini-Abbott; Jonathan Puente; Doug Querin; Hon. Kelly Skye; Michael Slauson; and Eleanor Wallace.</w:t>
      </w:r>
    </w:p>
    <w:p w14:paraId="1476BD73" w14:textId="77777777" w:rsidR="0050023C" w:rsidRDefault="00E0439E" w:rsidP="00E0439E">
      <w:pPr>
        <w:pBdr>
          <w:bottom w:val="single" w:sz="6" w:space="1" w:color="auto"/>
        </w:pBdr>
        <w:tabs>
          <w:tab w:val="clear" w:pos="720"/>
          <w:tab w:val="clear" w:pos="1440"/>
          <w:tab w:val="clear" w:pos="2160"/>
          <w:tab w:val="left" w:pos="-2070"/>
          <w:tab w:val="left" w:pos="-1980"/>
          <w:tab w:val="left" w:pos="1800"/>
        </w:tabs>
        <w:rPr>
          <w:rFonts w:asciiTheme="minorHAnsi" w:hAnsiTheme="minorHAnsi"/>
          <w:szCs w:val="24"/>
        </w:rPr>
      </w:pPr>
      <w:r w:rsidRPr="0079429B">
        <w:rPr>
          <w:rFonts w:asciiTheme="minorHAnsi" w:hAnsiTheme="minorHAnsi"/>
          <w:b/>
          <w:szCs w:val="24"/>
        </w:rPr>
        <w:t>From:</w:t>
      </w:r>
      <w:r w:rsidRPr="0079429B">
        <w:rPr>
          <w:rFonts w:asciiTheme="minorHAnsi" w:hAnsiTheme="minorHAnsi"/>
          <w:szCs w:val="24"/>
        </w:rPr>
        <w:tab/>
      </w:r>
      <w:bookmarkStart w:id="0" w:name="MyName"/>
      <w:bookmarkEnd w:id="0"/>
      <w:r w:rsidR="008E789D">
        <w:rPr>
          <w:rFonts w:asciiTheme="minorHAnsi" w:hAnsiTheme="minorHAnsi"/>
          <w:szCs w:val="24"/>
        </w:rPr>
        <w:t>Caroline Wong</w:t>
      </w:r>
    </w:p>
    <w:p w14:paraId="2A4EA01F" w14:textId="2E729031" w:rsidR="00461420" w:rsidRPr="005C11CB" w:rsidRDefault="00461420" w:rsidP="00461420">
      <w:pPr>
        <w:pBdr>
          <w:bottom w:val="single" w:sz="6" w:space="1" w:color="auto"/>
        </w:pBdr>
        <w:tabs>
          <w:tab w:val="clear" w:pos="720"/>
          <w:tab w:val="clear" w:pos="1440"/>
          <w:tab w:val="clear" w:pos="2160"/>
          <w:tab w:val="left" w:pos="-2070"/>
          <w:tab w:val="left" w:pos="-1980"/>
          <w:tab w:val="left" w:pos="1800"/>
        </w:tabs>
        <w:rPr>
          <w:rFonts w:asciiTheme="minorHAnsi" w:hAnsiTheme="minorHAnsi"/>
          <w:szCs w:val="24"/>
        </w:rPr>
      </w:pPr>
      <w:r>
        <w:rPr>
          <w:rFonts w:asciiTheme="minorHAnsi" w:hAnsiTheme="minorHAnsi"/>
          <w:b/>
          <w:szCs w:val="24"/>
        </w:rPr>
        <w:t>Date:</w:t>
      </w:r>
      <w:r>
        <w:rPr>
          <w:rFonts w:asciiTheme="minorHAnsi" w:hAnsiTheme="minorHAnsi"/>
          <w:b/>
          <w:szCs w:val="24"/>
        </w:rPr>
        <w:tab/>
      </w:r>
      <w:r>
        <w:rPr>
          <w:rFonts w:asciiTheme="minorHAnsi" w:hAnsiTheme="minorHAnsi"/>
          <w:szCs w:val="24"/>
        </w:rPr>
        <w:t xml:space="preserve">December </w:t>
      </w:r>
      <w:r w:rsidR="00C34AB9">
        <w:rPr>
          <w:rFonts w:asciiTheme="minorHAnsi" w:hAnsiTheme="minorHAnsi"/>
          <w:szCs w:val="24"/>
        </w:rPr>
        <w:t>11</w:t>
      </w:r>
      <w:bookmarkStart w:id="1" w:name="_GoBack"/>
      <w:bookmarkEnd w:id="1"/>
      <w:r>
        <w:rPr>
          <w:rFonts w:asciiTheme="minorHAnsi" w:hAnsiTheme="minorHAnsi"/>
          <w:szCs w:val="24"/>
        </w:rPr>
        <w:t>, 2018</w:t>
      </w:r>
    </w:p>
    <w:p w14:paraId="256199B5" w14:textId="77777777" w:rsidR="00E0439E" w:rsidRDefault="00E0439E" w:rsidP="00E0439E">
      <w:pPr>
        <w:pBdr>
          <w:bottom w:val="single" w:sz="6" w:space="1" w:color="auto"/>
        </w:pBdr>
        <w:tabs>
          <w:tab w:val="clear" w:pos="720"/>
          <w:tab w:val="clear" w:pos="1440"/>
          <w:tab w:val="clear" w:pos="2160"/>
          <w:tab w:val="left" w:pos="-2070"/>
          <w:tab w:val="left" w:pos="-1980"/>
          <w:tab w:val="left" w:pos="1800"/>
        </w:tabs>
        <w:rPr>
          <w:rFonts w:asciiTheme="minorHAnsi" w:hAnsiTheme="minorHAnsi"/>
          <w:szCs w:val="24"/>
        </w:rPr>
      </w:pPr>
      <w:r w:rsidRPr="0079429B">
        <w:rPr>
          <w:rFonts w:asciiTheme="minorHAnsi" w:hAnsiTheme="minorHAnsi"/>
          <w:b/>
          <w:szCs w:val="24"/>
        </w:rPr>
        <w:t>Re:</w:t>
      </w:r>
      <w:r w:rsidRPr="0079429B">
        <w:rPr>
          <w:rFonts w:asciiTheme="minorHAnsi" w:hAnsiTheme="minorHAnsi"/>
          <w:szCs w:val="24"/>
        </w:rPr>
        <w:tab/>
      </w:r>
      <w:r w:rsidR="002662AB">
        <w:rPr>
          <w:rFonts w:asciiTheme="minorHAnsi" w:hAnsiTheme="minorHAnsi"/>
          <w:szCs w:val="24"/>
        </w:rPr>
        <w:t xml:space="preserve">Fitness </w:t>
      </w:r>
      <w:r w:rsidR="007F672D">
        <w:rPr>
          <w:rFonts w:asciiTheme="minorHAnsi" w:hAnsiTheme="minorHAnsi"/>
          <w:szCs w:val="24"/>
        </w:rPr>
        <w:t>Review Task Force</w:t>
      </w:r>
    </w:p>
    <w:p w14:paraId="2C52836E" w14:textId="77777777" w:rsidR="002C2878" w:rsidRPr="0079429B" w:rsidRDefault="002C2878" w:rsidP="00E0439E">
      <w:pPr>
        <w:pBdr>
          <w:bottom w:val="single" w:sz="6" w:space="1" w:color="auto"/>
        </w:pBdr>
        <w:tabs>
          <w:tab w:val="clear" w:pos="720"/>
          <w:tab w:val="clear" w:pos="1440"/>
          <w:tab w:val="clear" w:pos="2160"/>
          <w:tab w:val="left" w:pos="-2070"/>
          <w:tab w:val="left" w:pos="-1980"/>
          <w:tab w:val="left" w:pos="1800"/>
        </w:tabs>
        <w:rPr>
          <w:rFonts w:asciiTheme="minorHAnsi" w:hAnsiTheme="minorHAnsi"/>
          <w:szCs w:val="24"/>
        </w:rPr>
      </w:pPr>
    </w:p>
    <w:p w14:paraId="7488E228" w14:textId="77777777" w:rsidR="00A35B3E" w:rsidRDefault="00A35B3E">
      <w:pPr>
        <w:rPr>
          <w:rFonts w:asciiTheme="minorHAnsi" w:hAnsiTheme="minorHAnsi"/>
          <w:szCs w:val="24"/>
        </w:rPr>
      </w:pPr>
    </w:p>
    <w:p w14:paraId="42591882" w14:textId="1A531FB6" w:rsidR="00D33B88" w:rsidRDefault="00A9690F" w:rsidP="00942EAE">
      <w:pPr>
        <w:rPr>
          <w:rFonts w:asciiTheme="minorHAnsi" w:hAnsiTheme="minorHAnsi"/>
          <w:szCs w:val="24"/>
        </w:rPr>
      </w:pPr>
      <w:r>
        <w:rPr>
          <w:rFonts w:asciiTheme="minorHAnsi" w:hAnsiTheme="minorHAnsi"/>
          <w:szCs w:val="24"/>
        </w:rPr>
        <w:tab/>
      </w:r>
      <w:r w:rsidR="007F672D">
        <w:rPr>
          <w:rFonts w:asciiTheme="minorHAnsi" w:hAnsiTheme="minorHAnsi"/>
          <w:szCs w:val="24"/>
        </w:rPr>
        <w:t xml:space="preserve">Thank you for </w:t>
      </w:r>
      <w:r w:rsidR="002526D3">
        <w:rPr>
          <w:rFonts w:asciiTheme="minorHAnsi" w:hAnsiTheme="minorHAnsi"/>
          <w:szCs w:val="24"/>
        </w:rPr>
        <w:t xml:space="preserve">agreeing to </w:t>
      </w:r>
      <w:r w:rsidR="007F672D">
        <w:rPr>
          <w:rFonts w:asciiTheme="minorHAnsi" w:hAnsiTheme="minorHAnsi"/>
          <w:szCs w:val="24"/>
        </w:rPr>
        <w:t>serv</w:t>
      </w:r>
      <w:r w:rsidR="002526D3">
        <w:rPr>
          <w:rFonts w:asciiTheme="minorHAnsi" w:hAnsiTheme="minorHAnsi"/>
          <w:szCs w:val="24"/>
        </w:rPr>
        <w:t>e</w:t>
      </w:r>
      <w:r w:rsidR="007F672D">
        <w:rPr>
          <w:rFonts w:asciiTheme="minorHAnsi" w:hAnsiTheme="minorHAnsi"/>
          <w:szCs w:val="24"/>
        </w:rPr>
        <w:t xml:space="preserve"> on the </w:t>
      </w:r>
      <w:r w:rsidR="00C02EE6">
        <w:rPr>
          <w:rFonts w:asciiTheme="minorHAnsi" w:hAnsiTheme="minorHAnsi"/>
          <w:szCs w:val="24"/>
        </w:rPr>
        <w:t xml:space="preserve">Oregon State Board of Bar Examiners (BBX) </w:t>
      </w:r>
      <w:r w:rsidR="007F672D">
        <w:rPr>
          <w:rFonts w:asciiTheme="minorHAnsi" w:hAnsiTheme="minorHAnsi"/>
          <w:szCs w:val="24"/>
        </w:rPr>
        <w:t>Fitness Review Task Force</w:t>
      </w:r>
      <w:r w:rsidR="00C02EE6">
        <w:rPr>
          <w:rFonts w:asciiTheme="minorHAnsi" w:hAnsiTheme="minorHAnsi"/>
          <w:szCs w:val="24"/>
        </w:rPr>
        <w:t xml:space="preserve"> (Task Force)</w:t>
      </w:r>
      <w:r w:rsidR="007F672D">
        <w:rPr>
          <w:rFonts w:asciiTheme="minorHAnsi" w:hAnsiTheme="minorHAnsi"/>
          <w:szCs w:val="24"/>
        </w:rPr>
        <w:t>.</w:t>
      </w:r>
      <w:r w:rsidR="00C02EE6">
        <w:rPr>
          <w:rFonts w:asciiTheme="minorHAnsi" w:hAnsiTheme="minorHAnsi"/>
          <w:szCs w:val="24"/>
        </w:rPr>
        <w:t xml:space="preserve">  </w:t>
      </w:r>
      <w:r w:rsidR="00E37B93">
        <w:rPr>
          <w:rFonts w:asciiTheme="minorHAnsi" w:hAnsiTheme="minorHAnsi"/>
          <w:szCs w:val="24"/>
        </w:rPr>
        <w:t>Justice Rives Kistler</w:t>
      </w:r>
      <w:r w:rsidR="00C02EE6">
        <w:rPr>
          <w:rFonts w:asciiTheme="minorHAnsi" w:hAnsiTheme="minorHAnsi"/>
          <w:szCs w:val="24"/>
        </w:rPr>
        <w:t xml:space="preserve"> has agreed to chair </w:t>
      </w:r>
      <w:r w:rsidR="00E37B93">
        <w:rPr>
          <w:rFonts w:asciiTheme="minorHAnsi" w:hAnsiTheme="minorHAnsi"/>
          <w:szCs w:val="24"/>
        </w:rPr>
        <w:t xml:space="preserve">the Task Force.  </w:t>
      </w:r>
      <w:r w:rsidR="007F672D">
        <w:rPr>
          <w:rFonts w:asciiTheme="minorHAnsi" w:hAnsiTheme="minorHAnsi"/>
          <w:szCs w:val="24"/>
        </w:rPr>
        <w:t xml:space="preserve">Troy Wood is </w:t>
      </w:r>
      <w:r w:rsidR="00E37B93">
        <w:rPr>
          <w:rFonts w:asciiTheme="minorHAnsi" w:hAnsiTheme="minorHAnsi"/>
          <w:szCs w:val="24"/>
        </w:rPr>
        <w:t xml:space="preserve">the OSB’s </w:t>
      </w:r>
      <w:r w:rsidR="007F672D">
        <w:rPr>
          <w:rFonts w:asciiTheme="minorHAnsi" w:hAnsiTheme="minorHAnsi"/>
          <w:szCs w:val="24"/>
        </w:rPr>
        <w:t>liaison</w:t>
      </w:r>
      <w:r w:rsidR="00E37B93">
        <w:rPr>
          <w:rFonts w:asciiTheme="minorHAnsi" w:hAnsiTheme="minorHAnsi"/>
          <w:szCs w:val="24"/>
        </w:rPr>
        <w:t xml:space="preserve"> to the Task Force</w:t>
      </w:r>
      <w:r w:rsidR="007F672D">
        <w:rPr>
          <w:rFonts w:asciiTheme="minorHAnsi" w:hAnsiTheme="minorHAnsi"/>
          <w:szCs w:val="24"/>
        </w:rPr>
        <w:t>.</w:t>
      </w:r>
      <w:r w:rsidR="00FE086C">
        <w:rPr>
          <w:rFonts w:asciiTheme="minorHAnsi" w:hAnsiTheme="minorHAnsi"/>
          <w:szCs w:val="24"/>
        </w:rPr>
        <w:t xml:space="preserve">  </w:t>
      </w:r>
      <w:r w:rsidR="00634C34">
        <w:rPr>
          <w:rFonts w:asciiTheme="minorHAnsi" w:hAnsiTheme="minorHAnsi"/>
          <w:szCs w:val="24"/>
        </w:rPr>
        <w:t xml:space="preserve">  The following is intended to give context to the creation of the Task Force, stress the importance of your work and provide guidance to your efforts</w:t>
      </w:r>
      <w:r w:rsidR="00461420">
        <w:rPr>
          <w:rFonts w:asciiTheme="minorHAnsi" w:hAnsiTheme="minorHAnsi"/>
          <w:szCs w:val="24"/>
        </w:rPr>
        <w:t>.</w:t>
      </w:r>
    </w:p>
    <w:p w14:paraId="6F0E165B" w14:textId="77777777" w:rsidR="00E26D16" w:rsidRDefault="00E26D16" w:rsidP="00942EAE">
      <w:pPr>
        <w:rPr>
          <w:rFonts w:asciiTheme="minorHAnsi" w:hAnsiTheme="minorHAnsi"/>
          <w:szCs w:val="24"/>
        </w:rPr>
      </w:pPr>
    </w:p>
    <w:p w14:paraId="0A7C86D1" w14:textId="2C810BB3" w:rsidR="00BC2D3F" w:rsidRDefault="00E26D16" w:rsidP="00942EAE">
      <w:pPr>
        <w:rPr>
          <w:rFonts w:asciiTheme="minorHAnsi" w:hAnsiTheme="minorHAnsi"/>
          <w:szCs w:val="24"/>
        </w:rPr>
      </w:pPr>
      <w:r>
        <w:rPr>
          <w:rFonts w:asciiTheme="minorHAnsi" w:hAnsiTheme="minorHAnsi"/>
          <w:szCs w:val="24"/>
        </w:rPr>
        <w:tab/>
      </w:r>
      <w:r w:rsidR="00D41299" w:rsidRPr="00D41299">
        <w:rPr>
          <w:rFonts w:asciiTheme="minorHAnsi" w:hAnsiTheme="minorHAnsi"/>
          <w:szCs w:val="24"/>
        </w:rPr>
        <w:t xml:space="preserve">The </w:t>
      </w:r>
      <w:r w:rsidR="00D41299">
        <w:rPr>
          <w:rFonts w:asciiTheme="minorHAnsi" w:hAnsiTheme="minorHAnsi"/>
          <w:szCs w:val="24"/>
        </w:rPr>
        <w:t>BBX</w:t>
      </w:r>
      <w:r w:rsidR="00D41299" w:rsidRPr="00D41299">
        <w:rPr>
          <w:rFonts w:asciiTheme="minorHAnsi" w:hAnsiTheme="minorHAnsi"/>
          <w:szCs w:val="24"/>
        </w:rPr>
        <w:t xml:space="preserve">’s primary purpose is to safeguard the public by ensuring </w:t>
      </w:r>
      <w:r w:rsidR="002E7458">
        <w:rPr>
          <w:rFonts w:asciiTheme="minorHAnsi" w:hAnsiTheme="minorHAnsi"/>
          <w:szCs w:val="24"/>
        </w:rPr>
        <w:t xml:space="preserve">that </w:t>
      </w:r>
      <w:r w:rsidR="00D41299">
        <w:rPr>
          <w:rFonts w:asciiTheme="minorHAnsi" w:hAnsiTheme="minorHAnsi"/>
          <w:szCs w:val="24"/>
        </w:rPr>
        <w:t xml:space="preserve">bar </w:t>
      </w:r>
      <w:r w:rsidR="00D41299" w:rsidRPr="00D41299">
        <w:rPr>
          <w:rFonts w:asciiTheme="minorHAnsi" w:hAnsiTheme="minorHAnsi"/>
          <w:szCs w:val="24"/>
        </w:rPr>
        <w:t xml:space="preserve">applicants </w:t>
      </w:r>
      <w:r w:rsidR="002E7458">
        <w:rPr>
          <w:rFonts w:asciiTheme="minorHAnsi" w:hAnsiTheme="minorHAnsi"/>
          <w:szCs w:val="24"/>
        </w:rPr>
        <w:t xml:space="preserve">admitted to practice law in Oregon </w:t>
      </w:r>
      <w:r w:rsidR="00D41299" w:rsidRPr="00D41299">
        <w:rPr>
          <w:rFonts w:asciiTheme="minorHAnsi" w:hAnsiTheme="minorHAnsi"/>
          <w:szCs w:val="24"/>
        </w:rPr>
        <w:t xml:space="preserve">possess the requisite </w:t>
      </w:r>
      <w:r w:rsidR="00D41299">
        <w:rPr>
          <w:rFonts w:asciiTheme="minorHAnsi" w:hAnsiTheme="minorHAnsi"/>
          <w:szCs w:val="24"/>
        </w:rPr>
        <w:t xml:space="preserve">learning and ability, and </w:t>
      </w:r>
      <w:r w:rsidR="00D41299" w:rsidRPr="00D41299">
        <w:rPr>
          <w:rFonts w:asciiTheme="minorHAnsi" w:hAnsiTheme="minorHAnsi"/>
          <w:szCs w:val="24"/>
        </w:rPr>
        <w:t xml:space="preserve">character and fitness to practice law. </w:t>
      </w:r>
      <w:r>
        <w:rPr>
          <w:rFonts w:asciiTheme="minorHAnsi" w:hAnsiTheme="minorHAnsi"/>
          <w:szCs w:val="24"/>
        </w:rPr>
        <w:t>Pursuant to Oregon Revised Statute (ORS) 9.210, the Oregon Supreme Court appoints members to the BBX to carry out the admissions functions of the Oregon State Bar (OSB), and authorizes the BBX to conduct bar exam</w:t>
      </w:r>
      <w:r w:rsidR="003C3F1A">
        <w:rPr>
          <w:rFonts w:asciiTheme="minorHAnsi" w:hAnsiTheme="minorHAnsi"/>
          <w:szCs w:val="24"/>
        </w:rPr>
        <w:t>ination</w:t>
      </w:r>
      <w:r>
        <w:rPr>
          <w:rFonts w:asciiTheme="minorHAnsi" w:hAnsiTheme="minorHAnsi"/>
          <w:szCs w:val="24"/>
        </w:rPr>
        <w:t xml:space="preserve">s and </w:t>
      </w:r>
      <w:r w:rsidR="003C3F1A">
        <w:rPr>
          <w:rFonts w:asciiTheme="minorHAnsi" w:hAnsiTheme="minorHAnsi"/>
          <w:szCs w:val="24"/>
        </w:rPr>
        <w:t xml:space="preserve">to </w:t>
      </w:r>
      <w:r>
        <w:rPr>
          <w:rFonts w:asciiTheme="minorHAnsi" w:hAnsiTheme="minorHAnsi"/>
          <w:szCs w:val="24"/>
        </w:rPr>
        <w:t xml:space="preserve">investigate the character and fitness of </w:t>
      </w:r>
      <w:r w:rsidR="003C3F1A">
        <w:rPr>
          <w:rFonts w:asciiTheme="minorHAnsi" w:hAnsiTheme="minorHAnsi"/>
          <w:szCs w:val="24"/>
        </w:rPr>
        <w:t xml:space="preserve">bar </w:t>
      </w:r>
      <w:r>
        <w:rPr>
          <w:rFonts w:asciiTheme="minorHAnsi" w:hAnsiTheme="minorHAnsi"/>
          <w:szCs w:val="24"/>
        </w:rPr>
        <w:t xml:space="preserve">applicants.  ORS 9.220(2) requires </w:t>
      </w:r>
      <w:r w:rsidR="003C3F1A">
        <w:rPr>
          <w:rFonts w:asciiTheme="minorHAnsi" w:hAnsiTheme="minorHAnsi"/>
          <w:szCs w:val="24"/>
        </w:rPr>
        <w:t xml:space="preserve">an </w:t>
      </w:r>
      <w:r>
        <w:rPr>
          <w:rFonts w:asciiTheme="minorHAnsi" w:hAnsiTheme="minorHAnsi"/>
          <w:szCs w:val="24"/>
        </w:rPr>
        <w:t xml:space="preserve">applicant to </w:t>
      </w:r>
      <w:r w:rsidR="003C3F1A">
        <w:rPr>
          <w:rFonts w:asciiTheme="minorHAnsi" w:hAnsiTheme="minorHAnsi"/>
          <w:szCs w:val="24"/>
        </w:rPr>
        <w:t>demonstrate being</w:t>
      </w:r>
      <w:r>
        <w:rPr>
          <w:rFonts w:asciiTheme="minorHAnsi" w:hAnsiTheme="minorHAnsi"/>
          <w:szCs w:val="24"/>
        </w:rPr>
        <w:t xml:space="preserve"> of good moral character and fit to practice law.  </w:t>
      </w:r>
    </w:p>
    <w:p w14:paraId="664CA6D0" w14:textId="77777777" w:rsidR="00BC2D3F" w:rsidRDefault="00BC2D3F" w:rsidP="00942EAE">
      <w:pPr>
        <w:rPr>
          <w:rFonts w:asciiTheme="minorHAnsi" w:hAnsiTheme="minorHAnsi"/>
          <w:szCs w:val="24"/>
        </w:rPr>
      </w:pPr>
    </w:p>
    <w:p w14:paraId="25A85DD2" w14:textId="77777777" w:rsidR="00E26D16" w:rsidRDefault="00BC2D3F" w:rsidP="00942EAE">
      <w:pPr>
        <w:rPr>
          <w:rFonts w:asciiTheme="minorHAnsi" w:hAnsiTheme="minorHAnsi"/>
          <w:szCs w:val="24"/>
        </w:rPr>
      </w:pPr>
      <w:r>
        <w:rPr>
          <w:rFonts w:asciiTheme="minorHAnsi" w:hAnsiTheme="minorHAnsi"/>
          <w:szCs w:val="24"/>
        </w:rPr>
        <w:tab/>
      </w:r>
      <w:r w:rsidR="001872FB">
        <w:rPr>
          <w:rFonts w:asciiTheme="minorHAnsi" w:hAnsiTheme="minorHAnsi"/>
          <w:szCs w:val="24"/>
        </w:rPr>
        <w:t xml:space="preserve">The Oregon Supreme Court’s Rules for Admission of Attorneys (RFA) 1.05(4) defines </w:t>
      </w:r>
      <w:r w:rsidR="001872FB" w:rsidRPr="001872FB">
        <w:rPr>
          <w:rFonts w:asciiTheme="minorHAnsi" w:hAnsiTheme="minorHAnsi"/>
          <w:szCs w:val="24"/>
        </w:rPr>
        <w:t xml:space="preserve">"Fit to practice law" or "fitness" </w:t>
      </w:r>
      <w:r>
        <w:rPr>
          <w:rFonts w:asciiTheme="minorHAnsi" w:hAnsiTheme="minorHAnsi"/>
          <w:szCs w:val="24"/>
        </w:rPr>
        <w:t>as an applicant demonstrating</w:t>
      </w:r>
      <w:r w:rsidR="001872FB" w:rsidRPr="001872FB">
        <w:rPr>
          <w:rFonts w:asciiTheme="minorHAnsi" w:hAnsiTheme="minorHAnsi"/>
          <w:szCs w:val="24"/>
        </w:rPr>
        <w:t xml:space="preserve"> a level of conduct, mental health, judgment, and diligence that will result in adequate representation of the best interests of clients, including participation in the legal process according to the Oregon Rules of Professional Conduct.</w:t>
      </w:r>
      <w:r w:rsidR="002C78A4">
        <w:rPr>
          <w:rFonts w:asciiTheme="minorHAnsi" w:hAnsiTheme="minorHAnsi"/>
          <w:szCs w:val="24"/>
        </w:rPr>
        <w:t xml:space="preserve">  </w:t>
      </w:r>
    </w:p>
    <w:p w14:paraId="4723F61D" w14:textId="77777777" w:rsidR="00A916F1" w:rsidRDefault="00A916F1" w:rsidP="00942EAE">
      <w:pPr>
        <w:rPr>
          <w:rFonts w:asciiTheme="minorHAnsi" w:hAnsiTheme="minorHAnsi"/>
          <w:szCs w:val="24"/>
        </w:rPr>
      </w:pPr>
    </w:p>
    <w:p w14:paraId="6FF3E0CB" w14:textId="5FEAECC6" w:rsidR="002D7B99" w:rsidRDefault="00A916F1" w:rsidP="00942EAE">
      <w:pPr>
        <w:rPr>
          <w:rFonts w:asciiTheme="minorHAnsi" w:hAnsiTheme="minorHAnsi"/>
          <w:szCs w:val="24"/>
        </w:rPr>
      </w:pPr>
      <w:r>
        <w:rPr>
          <w:rFonts w:asciiTheme="minorHAnsi" w:hAnsiTheme="minorHAnsi"/>
          <w:szCs w:val="24"/>
        </w:rPr>
        <w:tab/>
      </w:r>
      <w:r w:rsidR="00ED54AB">
        <w:rPr>
          <w:rFonts w:asciiTheme="minorHAnsi" w:hAnsiTheme="minorHAnsi"/>
          <w:szCs w:val="24"/>
        </w:rPr>
        <w:t xml:space="preserve">Given the importance of mental health to fitness, </w:t>
      </w:r>
      <w:r w:rsidR="007C0EB8">
        <w:rPr>
          <w:rFonts w:asciiTheme="minorHAnsi" w:hAnsiTheme="minorHAnsi"/>
          <w:szCs w:val="24"/>
        </w:rPr>
        <w:t xml:space="preserve">the </w:t>
      </w:r>
      <w:r w:rsidR="00C9623D">
        <w:rPr>
          <w:rFonts w:asciiTheme="minorHAnsi" w:hAnsiTheme="minorHAnsi"/>
          <w:szCs w:val="24"/>
        </w:rPr>
        <w:t>BBX recognizes</w:t>
      </w:r>
      <w:r>
        <w:rPr>
          <w:rFonts w:asciiTheme="minorHAnsi" w:hAnsiTheme="minorHAnsi"/>
          <w:szCs w:val="24"/>
        </w:rPr>
        <w:t xml:space="preserve"> that </w:t>
      </w:r>
      <w:r w:rsidR="00ED54AB">
        <w:rPr>
          <w:rFonts w:asciiTheme="minorHAnsi" w:hAnsiTheme="minorHAnsi"/>
          <w:szCs w:val="24"/>
        </w:rPr>
        <w:t xml:space="preserve">the </w:t>
      </w:r>
      <w:r w:rsidR="00C9623D">
        <w:rPr>
          <w:rFonts w:asciiTheme="minorHAnsi" w:hAnsiTheme="minorHAnsi"/>
          <w:szCs w:val="24"/>
        </w:rPr>
        <w:t>constantly evolving</w:t>
      </w:r>
      <w:r w:rsidR="00ED54AB">
        <w:rPr>
          <w:rFonts w:asciiTheme="minorHAnsi" w:hAnsiTheme="minorHAnsi"/>
          <w:szCs w:val="24"/>
        </w:rPr>
        <w:t xml:space="preserve"> </w:t>
      </w:r>
      <w:r w:rsidR="00892403">
        <w:rPr>
          <w:rFonts w:asciiTheme="minorHAnsi" w:hAnsiTheme="minorHAnsi"/>
          <w:szCs w:val="24"/>
        </w:rPr>
        <w:t>scientific</w:t>
      </w:r>
      <w:r>
        <w:rPr>
          <w:rFonts w:asciiTheme="minorHAnsi" w:hAnsiTheme="minorHAnsi"/>
          <w:szCs w:val="24"/>
        </w:rPr>
        <w:t xml:space="preserve"> understanding of </w:t>
      </w:r>
      <w:r w:rsidR="00ED54AB">
        <w:rPr>
          <w:rFonts w:asciiTheme="minorHAnsi" w:hAnsiTheme="minorHAnsi"/>
          <w:szCs w:val="24"/>
        </w:rPr>
        <w:t>the brain and its processes has resulted in increasingly effective methodologies and treatments</w:t>
      </w:r>
      <w:r w:rsidR="003C3F1A">
        <w:rPr>
          <w:rFonts w:asciiTheme="minorHAnsi" w:hAnsiTheme="minorHAnsi"/>
          <w:szCs w:val="24"/>
        </w:rPr>
        <w:t xml:space="preserve"> for conditions that otherwise might impact fitness</w:t>
      </w:r>
      <w:r w:rsidR="00A007CD">
        <w:rPr>
          <w:rFonts w:asciiTheme="minorHAnsi" w:hAnsiTheme="minorHAnsi"/>
          <w:szCs w:val="24"/>
        </w:rPr>
        <w:t>.</w:t>
      </w:r>
      <w:r w:rsidR="00ED54AB">
        <w:rPr>
          <w:rFonts w:asciiTheme="minorHAnsi" w:hAnsiTheme="minorHAnsi"/>
          <w:szCs w:val="24"/>
        </w:rPr>
        <w:t xml:space="preserve"> </w:t>
      </w:r>
      <w:r w:rsidR="00A007CD">
        <w:rPr>
          <w:rFonts w:asciiTheme="minorHAnsi" w:hAnsiTheme="minorHAnsi"/>
          <w:szCs w:val="24"/>
        </w:rPr>
        <w:t xml:space="preserve"> When applied, they allow impacted persons to fulfill their potential. The challenge is in seeking and receiving appropriate care.</w:t>
      </w:r>
    </w:p>
    <w:p w14:paraId="7DF92380" w14:textId="275FB033" w:rsidR="00A916F1" w:rsidRDefault="002D7B99" w:rsidP="00942EAE">
      <w:pPr>
        <w:rPr>
          <w:rFonts w:asciiTheme="minorHAnsi" w:hAnsiTheme="minorHAnsi"/>
          <w:szCs w:val="24"/>
        </w:rPr>
      </w:pPr>
      <w:r>
        <w:rPr>
          <w:rFonts w:asciiTheme="minorHAnsi" w:hAnsiTheme="minorHAnsi"/>
          <w:szCs w:val="24"/>
        </w:rPr>
        <w:tab/>
      </w:r>
    </w:p>
    <w:p w14:paraId="59D3F297" w14:textId="77777777" w:rsidR="00570910" w:rsidRDefault="00C02EE6" w:rsidP="00942EAE">
      <w:pPr>
        <w:rPr>
          <w:rFonts w:asciiTheme="minorHAnsi" w:hAnsiTheme="minorHAnsi"/>
          <w:szCs w:val="24"/>
        </w:rPr>
      </w:pPr>
      <w:r>
        <w:rPr>
          <w:rFonts w:asciiTheme="minorHAnsi" w:hAnsiTheme="minorHAnsi"/>
          <w:szCs w:val="24"/>
        </w:rPr>
        <w:tab/>
        <w:t xml:space="preserve">In </w:t>
      </w:r>
      <w:r w:rsidR="00570910">
        <w:rPr>
          <w:rFonts w:asciiTheme="minorHAnsi" w:hAnsiTheme="minorHAnsi"/>
          <w:szCs w:val="24"/>
        </w:rPr>
        <w:t xml:space="preserve">the spring of </w:t>
      </w:r>
      <w:r w:rsidR="005F68DE">
        <w:rPr>
          <w:rFonts w:asciiTheme="minorHAnsi" w:hAnsiTheme="minorHAnsi"/>
          <w:szCs w:val="24"/>
        </w:rPr>
        <w:t>201</w:t>
      </w:r>
      <w:r w:rsidR="00570910">
        <w:rPr>
          <w:rFonts w:asciiTheme="minorHAnsi" w:hAnsiTheme="minorHAnsi"/>
          <w:szCs w:val="24"/>
        </w:rPr>
        <w:t>4</w:t>
      </w:r>
      <w:r w:rsidR="005F68DE">
        <w:rPr>
          <w:rFonts w:asciiTheme="minorHAnsi" w:hAnsiTheme="minorHAnsi"/>
          <w:szCs w:val="24"/>
        </w:rPr>
        <w:t xml:space="preserve">, the </w:t>
      </w:r>
      <w:r w:rsidR="00570910">
        <w:rPr>
          <w:rFonts w:asciiTheme="minorHAnsi" w:hAnsiTheme="minorHAnsi"/>
          <w:szCs w:val="24"/>
        </w:rPr>
        <w:t xml:space="preserve">Dave Nee Foundation funded a multi-school study </w:t>
      </w:r>
      <w:r w:rsidR="00461420">
        <w:rPr>
          <w:rFonts w:asciiTheme="minorHAnsi" w:hAnsiTheme="minorHAnsi"/>
          <w:szCs w:val="24"/>
        </w:rPr>
        <w:t>of</w:t>
      </w:r>
      <w:r w:rsidR="00570910">
        <w:rPr>
          <w:rFonts w:asciiTheme="minorHAnsi" w:hAnsiTheme="minorHAnsi"/>
          <w:szCs w:val="24"/>
        </w:rPr>
        <w:t xml:space="preserve"> law student alcohol and </w:t>
      </w:r>
      <w:r w:rsidR="006A200B">
        <w:rPr>
          <w:rFonts w:asciiTheme="minorHAnsi" w:hAnsiTheme="minorHAnsi"/>
          <w:szCs w:val="24"/>
        </w:rPr>
        <w:t>substance use, as well as</w:t>
      </w:r>
      <w:r w:rsidR="008C564B">
        <w:rPr>
          <w:rFonts w:asciiTheme="minorHAnsi" w:hAnsiTheme="minorHAnsi"/>
          <w:szCs w:val="24"/>
        </w:rPr>
        <w:t xml:space="preserve"> </w:t>
      </w:r>
      <w:r w:rsidR="00570910">
        <w:rPr>
          <w:rFonts w:asciiTheme="minorHAnsi" w:hAnsiTheme="minorHAnsi"/>
          <w:szCs w:val="24"/>
        </w:rPr>
        <w:t>mental health concerns and help-seeking attitudes among law students (</w:t>
      </w:r>
      <w:r w:rsidR="0026138A">
        <w:rPr>
          <w:rFonts w:asciiTheme="minorHAnsi" w:hAnsiTheme="minorHAnsi"/>
          <w:szCs w:val="24"/>
        </w:rPr>
        <w:t xml:space="preserve">the </w:t>
      </w:r>
      <w:r w:rsidR="00570910">
        <w:rPr>
          <w:rFonts w:asciiTheme="minorHAnsi" w:hAnsiTheme="minorHAnsi"/>
          <w:szCs w:val="24"/>
        </w:rPr>
        <w:t xml:space="preserve">Nee Study).  The results of the </w:t>
      </w:r>
      <w:r w:rsidR="0026138A">
        <w:rPr>
          <w:rFonts w:asciiTheme="minorHAnsi" w:hAnsiTheme="minorHAnsi"/>
          <w:szCs w:val="24"/>
        </w:rPr>
        <w:t>Nee S</w:t>
      </w:r>
      <w:r w:rsidR="00570910">
        <w:rPr>
          <w:rFonts w:asciiTheme="minorHAnsi" w:hAnsiTheme="minorHAnsi"/>
          <w:szCs w:val="24"/>
        </w:rPr>
        <w:t xml:space="preserve">tudy were published in the </w:t>
      </w:r>
      <w:proofErr w:type="gramStart"/>
      <w:r w:rsidR="00570910">
        <w:rPr>
          <w:rFonts w:asciiTheme="minorHAnsi" w:hAnsiTheme="minorHAnsi"/>
          <w:szCs w:val="24"/>
        </w:rPr>
        <w:t>Autumn</w:t>
      </w:r>
      <w:proofErr w:type="gramEnd"/>
      <w:r w:rsidR="00570910">
        <w:rPr>
          <w:rFonts w:asciiTheme="minorHAnsi" w:hAnsiTheme="minorHAnsi"/>
          <w:szCs w:val="24"/>
        </w:rPr>
        <w:t xml:space="preserve"> 2016 publication of the Journal of Legal Education.  The </w:t>
      </w:r>
      <w:r w:rsidR="0026138A">
        <w:rPr>
          <w:rFonts w:asciiTheme="minorHAnsi" w:hAnsiTheme="minorHAnsi"/>
          <w:szCs w:val="24"/>
        </w:rPr>
        <w:t>Nee S</w:t>
      </w:r>
      <w:r w:rsidR="00570910">
        <w:rPr>
          <w:rFonts w:asciiTheme="minorHAnsi" w:hAnsiTheme="minorHAnsi"/>
          <w:szCs w:val="24"/>
        </w:rPr>
        <w:t>tudy found that up to one-third of respondents reported frequent binge drinking</w:t>
      </w:r>
      <w:r w:rsidR="006A200B">
        <w:rPr>
          <w:rFonts w:asciiTheme="minorHAnsi" w:hAnsiTheme="minorHAnsi"/>
          <w:szCs w:val="24"/>
        </w:rPr>
        <w:t>,</w:t>
      </w:r>
      <w:r w:rsidR="00570910">
        <w:rPr>
          <w:rFonts w:asciiTheme="minorHAnsi" w:hAnsiTheme="minorHAnsi"/>
          <w:szCs w:val="24"/>
        </w:rPr>
        <w:t xml:space="preserve"> misuse of drugs or mental health challenges.  The study also suggested that a significant majority of those law students most in need of help were reluctant to seek it.</w:t>
      </w:r>
      <w:r w:rsidR="005F68DE">
        <w:rPr>
          <w:rFonts w:asciiTheme="minorHAnsi" w:hAnsiTheme="minorHAnsi"/>
          <w:szCs w:val="24"/>
        </w:rPr>
        <w:t xml:space="preserve"> </w:t>
      </w:r>
      <w:r w:rsidR="00570910">
        <w:rPr>
          <w:rFonts w:asciiTheme="minorHAnsi" w:hAnsiTheme="minorHAnsi"/>
          <w:szCs w:val="24"/>
        </w:rPr>
        <w:t xml:space="preserve"> </w:t>
      </w:r>
    </w:p>
    <w:p w14:paraId="330E65E5" w14:textId="77777777" w:rsidR="00570910" w:rsidRDefault="00570910" w:rsidP="00942EAE">
      <w:pPr>
        <w:rPr>
          <w:rFonts w:asciiTheme="minorHAnsi" w:hAnsiTheme="minorHAnsi"/>
          <w:szCs w:val="24"/>
        </w:rPr>
      </w:pPr>
    </w:p>
    <w:p w14:paraId="4A67D044" w14:textId="77777777" w:rsidR="00670EEA" w:rsidRDefault="00570910" w:rsidP="00942EAE">
      <w:pPr>
        <w:rPr>
          <w:rFonts w:asciiTheme="minorHAnsi" w:hAnsiTheme="minorHAnsi"/>
          <w:szCs w:val="24"/>
        </w:rPr>
      </w:pPr>
      <w:r>
        <w:rPr>
          <w:rFonts w:asciiTheme="minorHAnsi" w:hAnsiTheme="minorHAnsi"/>
          <w:szCs w:val="24"/>
        </w:rPr>
        <w:tab/>
      </w:r>
      <w:r w:rsidR="0026138A">
        <w:rPr>
          <w:rFonts w:asciiTheme="minorHAnsi" w:hAnsiTheme="minorHAnsi"/>
          <w:szCs w:val="24"/>
        </w:rPr>
        <w:t xml:space="preserve">In 2016, the American Bar Association (ABA) and </w:t>
      </w:r>
      <w:proofErr w:type="spellStart"/>
      <w:r w:rsidR="0026138A">
        <w:rPr>
          <w:rFonts w:asciiTheme="minorHAnsi" w:hAnsiTheme="minorHAnsi"/>
          <w:szCs w:val="24"/>
        </w:rPr>
        <w:t>Hazelden</w:t>
      </w:r>
      <w:proofErr w:type="spellEnd"/>
      <w:r w:rsidR="0026138A">
        <w:rPr>
          <w:rFonts w:asciiTheme="minorHAnsi" w:hAnsiTheme="minorHAnsi"/>
          <w:szCs w:val="24"/>
        </w:rPr>
        <w:t xml:space="preserve"> Betty Ford Foundation published a study of nearly 13,000 currently practicing lawyers nationwide (the </w:t>
      </w:r>
      <w:proofErr w:type="spellStart"/>
      <w:r w:rsidR="0026138A">
        <w:rPr>
          <w:rFonts w:asciiTheme="minorHAnsi" w:hAnsiTheme="minorHAnsi"/>
          <w:szCs w:val="24"/>
        </w:rPr>
        <w:t>Hazelden</w:t>
      </w:r>
      <w:proofErr w:type="spellEnd"/>
      <w:r w:rsidR="0026138A">
        <w:rPr>
          <w:rFonts w:asciiTheme="minorHAnsi" w:hAnsiTheme="minorHAnsi"/>
          <w:szCs w:val="24"/>
        </w:rPr>
        <w:t xml:space="preserve"> Study).  The </w:t>
      </w:r>
      <w:proofErr w:type="spellStart"/>
      <w:r w:rsidR="0026138A">
        <w:rPr>
          <w:rFonts w:asciiTheme="minorHAnsi" w:hAnsiTheme="minorHAnsi"/>
          <w:szCs w:val="24"/>
        </w:rPr>
        <w:t>Hazelden</w:t>
      </w:r>
      <w:proofErr w:type="spellEnd"/>
      <w:r w:rsidR="0026138A">
        <w:rPr>
          <w:rFonts w:asciiTheme="minorHAnsi" w:hAnsiTheme="minorHAnsi"/>
          <w:szCs w:val="24"/>
        </w:rPr>
        <w:t xml:space="preserve"> Study found that between 21 and 36 percent of participants qualified as problem drinkers and up to 28 percent had some level of depression, anxiety or </w:t>
      </w:r>
      <w:r w:rsidR="006A200B">
        <w:rPr>
          <w:rFonts w:asciiTheme="minorHAnsi" w:hAnsiTheme="minorHAnsi"/>
          <w:szCs w:val="24"/>
        </w:rPr>
        <w:t xml:space="preserve">other </w:t>
      </w:r>
      <w:r w:rsidR="0026138A">
        <w:rPr>
          <w:rFonts w:asciiTheme="minorHAnsi" w:hAnsiTheme="minorHAnsi"/>
          <w:szCs w:val="24"/>
        </w:rPr>
        <w:t xml:space="preserve">issue related to stress.  The </w:t>
      </w:r>
      <w:proofErr w:type="spellStart"/>
      <w:r w:rsidR="0026138A">
        <w:rPr>
          <w:rFonts w:asciiTheme="minorHAnsi" w:hAnsiTheme="minorHAnsi"/>
          <w:szCs w:val="24"/>
        </w:rPr>
        <w:t>Hazelden</w:t>
      </w:r>
      <w:proofErr w:type="spellEnd"/>
      <w:r w:rsidR="0026138A">
        <w:rPr>
          <w:rFonts w:asciiTheme="minorHAnsi" w:hAnsiTheme="minorHAnsi"/>
          <w:szCs w:val="24"/>
        </w:rPr>
        <w:t xml:space="preserve"> Study found that younger lawyers experience the highest rates of problem drinking and depression.  Up to 25% </w:t>
      </w:r>
      <w:r w:rsidR="00670EEA">
        <w:rPr>
          <w:rFonts w:asciiTheme="minorHAnsi" w:hAnsiTheme="minorHAnsi"/>
          <w:szCs w:val="24"/>
        </w:rPr>
        <w:t xml:space="preserve">of young lawyers </w:t>
      </w:r>
      <w:r w:rsidR="006A200B">
        <w:rPr>
          <w:rFonts w:asciiTheme="minorHAnsi" w:hAnsiTheme="minorHAnsi"/>
          <w:szCs w:val="24"/>
        </w:rPr>
        <w:t>were</w:t>
      </w:r>
      <w:r w:rsidR="0026138A">
        <w:rPr>
          <w:rFonts w:asciiTheme="minorHAnsi" w:hAnsiTheme="minorHAnsi"/>
          <w:szCs w:val="24"/>
        </w:rPr>
        <w:t xml:space="preserve"> categor</w:t>
      </w:r>
      <w:r w:rsidR="006A200B">
        <w:rPr>
          <w:rFonts w:asciiTheme="minorHAnsi" w:hAnsiTheme="minorHAnsi"/>
          <w:szCs w:val="24"/>
        </w:rPr>
        <w:t>ized</w:t>
      </w:r>
      <w:r w:rsidR="0026138A">
        <w:rPr>
          <w:rFonts w:asciiTheme="minorHAnsi" w:hAnsiTheme="minorHAnsi"/>
          <w:szCs w:val="24"/>
        </w:rPr>
        <w:t xml:space="preserve"> </w:t>
      </w:r>
      <w:r w:rsidR="006A200B">
        <w:rPr>
          <w:rFonts w:asciiTheme="minorHAnsi" w:hAnsiTheme="minorHAnsi"/>
          <w:szCs w:val="24"/>
        </w:rPr>
        <w:t>as</w:t>
      </w:r>
      <w:r w:rsidR="00670EEA">
        <w:rPr>
          <w:rFonts w:asciiTheme="minorHAnsi" w:hAnsiTheme="minorHAnsi"/>
          <w:szCs w:val="24"/>
        </w:rPr>
        <w:t xml:space="preserve"> </w:t>
      </w:r>
      <w:r w:rsidR="0026138A">
        <w:rPr>
          <w:rFonts w:asciiTheme="minorHAnsi" w:hAnsiTheme="minorHAnsi"/>
          <w:szCs w:val="24"/>
        </w:rPr>
        <w:t xml:space="preserve">being at risk for alcoholism.  </w:t>
      </w:r>
      <w:r w:rsidR="00634C34">
        <w:rPr>
          <w:rFonts w:asciiTheme="minorHAnsi" w:hAnsiTheme="minorHAnsi"/>
          <w:szCs w:val="24"/>
        </w:rPr>
        <w:t xml:space="preserve">The percentage of lawyers affected by the conditions considered by the </w:t>
      </w:r>
      <w:proofErr w:type="spellStart"/>
      <w:r w:rsidR="00634C34">
        <w:rPr>
          <w:rFonts w:asciiTheme="minorHAnsi" w:hAnsiTheme="minorHAnsi"/>
          <w:szCs w:val="24"/>
        </w:rPr>
        <w:t>Hazelden</w:t>
      </w:r>
      <w:proofErr w:type="spellEnd"/>
      <w:r w:rsidR="00634C34">
        <w:rPr>
          <w:rFonts w:asciiTheme="minorHAnsi" w:hAnsiTheme="minorHAnsi"/>
          <w:szCs w:val="24"/>
        </w:rPr>
        <w:t xml:space="preserve"> Study are at least three times higher than the general American population.</w:t>
      </w:r>
    </w:p>
    <w:p w14:paraId="0BADA4E3" w14:textId="77777777" w:rsidR="00670EEA" w:rsidRDefault="00670EEA" w:rsidP="00942EAE">
      <w:pPr>
        <w:rPr>
          <w:rFonts w:asciiTheme="minorHAnsi" w:hAnsiTheme="minorHAnsi"/>
          <w:szCs w:val="24"/>
        </w:rPr>
      </w:pPr>
    </w:p>
    <w:p w14:paraId="1F9B4653" w14:textId="28E2DA88" w:rsidR="00F2133C" w:rsidRDefault="00F2133C" w:rsidP="00942EAE">
      <w:pPr>
        <w:rPr>
          <w:rFonts w:asciiTheme="minorHAnsi" w:hAnsiTheme="minorHAnsi"/>
          <w:szCs w:val="24"/>
        </w:rPr>
      </w:pPr>
      <w:r>
        <w:rPr>
          <w:rFonts w:asciiTheme="minorHAnsi" w:hAnsiTheme="minorHAnsi"/>
          <w:szCs w:val="24"/>
        </w:rPr>
        <w:tab/>
        <w:t>Several</w:t>
      </w:r>
      <w:r w:rsidRPr="00F2133C">
        <w:rPr>
          <w:rFonts w:asciiTheme="minorHAnsi" w:hAnsiTheme="minorHAnsi"/>
          <w:szCs w:val="24"/>
        </w:rPr>
        <w:t xml:space="preserve"> recent</w:t>
      </w:r>
      <w:r>
        <w:rPr>
          <w:rFonts w:asciiTheme="minorHAnsi" w:hAnsiTheme="minorHAnsi"/>
          <w:szCs w:val="24"/>
        </w:rPr>
        <w:t xml:space="preserve"> studies have shown a reticence on the part of bar applicants to seeking treatment for mental health issues out of a concern that doing so will result in a denial of admission due to their condition.  </w:t>
      </w:r>
      <w:r w:rsidR="002E7458">
        <w:rPr>
          <w:rFonts w:asciiTheme="minorHAnsi" w:hAnsiTheme="minorHAnsi"/>
          <w:szCs w:val="24"/>
        </w:rPr>
        <w:t xml:space="preserve">In reality, the number of applicants that are ultimately denied admission </w:t>
      </w:r>
      <w:r w:rsidR="0062710B">
        <w:rPr>
          <w:rFonts w:asciiTheme="minorHAnsi" w:hAnsiTheme="minorHAnsi"/>
          <w:szCs w:val="24"/>
        </w:rPr>
        <w:t xml:space="preserve">for any reason </w:t>
      </w:r>
      <w:r w:rsidR="002E7458">
        <w:rPr>
          <w:rFonts w:asciiTheme="minorHAnsi" w:hAnsiTheme="minorHAnsi"/>
          <w:szCs w:val="24"/>
        </w:rPr>
        <w:t>is a very small number.  Of those who receive closer scrutiny, it is most typically triggered by the person’s criminal, employment</w:t>
      </w:r>
      <w:r w:rsidR="0062710B">
        <w:rPr>
          <w:rFonts w:asciiTheme="minorHAnsi" w:hAnsiTheme="minorHAnsi"/>
          <w:szCs w:val="24"/>
        </w:rPr>
        <w:t xml:space="preserve">, or financial issues.   And, with the option of conditional admission, those few with recent concerning behaviors who are already on a trajectory of recovery and treatment have a pathway to licensure.  These studies illustrate a need for education about the realities of the admissions process. </w:t>
      </w:r>
      <w:r>
        <w:rPr>
          <w:rFonts w:asciiTheme="minorHAnsi" w:hAnsiTheme="minorHAnsi"/>
          <w:szCs w:val="24"/>
        </w:rPr>
        <w:t xml:space="preserve">One means of </w:t>
      </w:r>
      <w:r w:rsidR="00D04824">
        <w:rPr>
          <w:rFonts w:asciiTheme="minorHAnsi" w:hAnsiTheme="minorHAnsi"/>
          <w:szCs w:val="24"/>
        </w:rPr>
        <w:t>combatting misperceptions</w:t>
      </w:r>
      <w:r>
        <w:rPr>
          <w:rFonts w:asciiTheme="minorHAnsi" w:hAnsiTheme="minorHAnsi"/>
          <w:szCs w:val="24"/>
        </w:rPr>
        <w:t xml:space="preserve"> </w:t>
      </w:r>
      <w:r w:rsidR="0062710B">
        <w:rPr>
          <w:rFonts w:asciiTheme="minorHAnsi" w:hAnsiTheme="minorHAnsi"/>
          <w:szCs w:val="24"/>
        </w:rPr>
        <w:t xml:space="preserve">about a negative connection between receiving treatment and achieving admission </w:t>
      </w:r>
      <w:r>
        <w:rPr>
          <w:rFonts w:asciiTheme="minorHAnsi" w:hAnsiTheme="minorHAnsi"/>
          <w:szCs w:val="24"/>
        </w:rPr>
        <w:t xml:space="preserve">is by publishing each year the reasons for denials and quantifying how few applicants are actually denied admission relative to the total number of applicants.  Of equal </w:t>
      </w:r>
      <w:r w:rsidR="00D04824">
        <w:rPr>
          <w:rFonts w:asciiTheme="minorHAnsi" w:hAnsiTheme="minorHAnsi"/>
          <w:szCs w:val="24"/>
        </w:rPr>
        <w:t>relevance</w:t>
      </w:r>
      <w:r>
        <w:rPr>
          <w:rFonts w:asciiTheme="minorHAnsi" w:hAnsiTheme="minorHAnsi"/>
          <w:szCs w:val="24"/>
        </w:rPr>
        <w:t xml:space="preserve">, the admissions process should emphasize the importance of seeking treatment as early as possible, whether it relates to mental health or substance use issues, in order to minimize the impact any untreated condition might have on the future ability to practice of law.  </w:t>
      </w:r>
      <w:r w:rsidR="00776481">
        <w:rPr>
          <w:rFonts w:asciiTheme="minorHAnsi" w:hAnsiTheme="minorHAnsi"/>
          <w:szCs w:val="24"/>
        </w:rPr>
        <w:t>A third consideration is examining the manner in which any inquiry into mental health or substance use issues during the application process is framed.</w:t>
      </w:r>
    </w:p>
    <w:p w14:paraId="22E597ED" w14:textId="77777777" w:rsidR="00F2133C" w:rsidRDefault="00F2133C" w:rsidP="00942EAE">
      <w:pPr>
        <w:rPr>
          <w:rFonts w:asciiTheme="minorHAnsi" w:hAnsiTheme="minorHAnsi"/>
          <w:szCs w:val="24"/>
        </w:rPr>
      </w:pPr>
    </w:p>
    <w:p w14:paraId="5D02144C" w14:textId="2C6FD6A5" w:rsidR="00C02EE6" w:rsidRDefault="00670EEA" w:rsidP="00942EAE">
      <w:pPr>
        <w:rPr>
          <w:rFonts w:asciiTheme="minorHAnsi" w:hAnsiTheme="minorHAnsi"/>
          <w:szCs w:val="24"/>
        </w:rPr>
      </w:pPr>
      <w:r>
        <w:rPr>
          <w:rFonts w:asciiTheme="minorHAnsi" w:hAnsiTheme="minorHAnsi"/>
          <w:szCs w:val="24"/>
        </w:rPr>
        <w:tab/>
      </w:r>
      <w:r w:rsidR="00570910">
        <w:rPr>
          <w:rFonts w:asciiTheme="minorHAnsi" w:hAnsiTheme="minorHAnsi"/>
          <w:szCs w:val="24"/>
        </w:rPr>
        <w:t xml:space="preserve">In August </w:t>
      </w:r>
      <w:r w:rsidR="00C02EE6">
        <w:rPr>
          <w:rFonts w:asciiTheme="minorHAnsi" w:hAnsiTheme="minorHAnsi"/>
          <w:szCs w:val="24"/>
        </w:rPr>
        <w:t xml:space="preserve">2017, the </w:t>
      </w:r>
      <w:r>
        <w:rPr>
          <w:rFonts w:asciiTheme="minorHAnsi" w:hAnsiTheme="minorHAnsi"/>
          <w:szCs w:val="24"/>
        </w:rPr>
        <w:t xml:space="preserve">ABA </w:t>
      </w:r>
      <w:r w:rsidR="00570910">
        <w:rPr>
          <w:rFonts w:asciiTheme="minorHAnsi" w:hAnsiTheme="minorHAnsi"/>
          <w:szCs w:val="24"/>
        </w:rPr>
        <w:t xml:space="preserve">published the report of the National Task Force on Lawyer Well-Being (the </w:t>
      </w:r>
      <w:r w:rsidR="00A523EB">
        <w:rPr>
          <w:rFonts w:asciiTheme="minorHAnsi" w:hAnsiTheme="minorHAnsi"/>
          <w:szCs w:val="24"/>
        </w:rPr>
        <w:t xml:space="preserve">ABA </w:t>
      </w:r>
      <w:r w:rsidR="00570910">
        <w:rPr>
          <w:rFonts w:asciiTheme="minorHAnsi" w:hAnsiTheme="minorHAnsi"/>
          <w:szCs w:val="24"/>
        </w:rPr>
        <w:t xml:space="preserve">Report).  The </w:t>
      </w:r>
      <w:r w:rsidR="00A523EB">
        <w:rPr>
          <w:rFonts w:asciiTheme="minorHAnsi" w:hAnsiTheme="minorHAnsi"/>
          <w:szCs w:val="24"/>
        </w:rPr>
        <w:t xml:space="preserve">ABA </w:t>
      </w:r>
      <w:r>
        <w:rPr>
          <w:rFonts w:asciiTheme="minorHAnsi" w:hAnsiTheme="minorHAnsi"/>
          <w:szCs w:val="24"/>
        </w:rPr>
        <w:t>Report identified the necessity for the legal profession to take action on law student and lawyer well</w:t>
      </w:r>
      <w:r w:rsidR="00776481">
        <w:rPr>
          <w:rFonts w:asciiTheme="minorHAnsi" w:hAnsiTheme="minorHAnsi"/>
          <w:szCs w:val="24"/>
        </w:rPr>
        <w:t>-</w:t>
      </w:r>
      <w:r>
        <w:rPr>
          <w:rFonts w:asciiTheme="minorHAnsi" w:hAnsiTheme="minorHAnsi"/>
          <w:szCs w:val="24"/>
        </w:rPr>
        <w:t xml:space="preserve">being and made specific recommendations to certain stakeholders and gatekeepers.  The following recommendations </w:t>
      </w:r>
      <w:r w:rsidR="006A200B">
        <w:rPr>
          <w:rFonts w:asciiTheme="minorHAnsi" w:hAnsiTheme="minorHAnsi"/>
          <w:szCs w:val="24"/>
        </w:rPr>
        <w:t>aimed at</w:t>
      </w:r>
      <w:r w:rsidR="00F2133C">
        <w:rPr>
          <w:rFonts w:asciiTheme="minorHAnsi" w:hAnsiTheme="minorHAnsi"/>
          <w:szCs w:val="24"/>
        </w:rPr>
        <w:t xml:space="preserve"> </w:t>
      </w:r>
      <w:r w:rsidR="006A200B">
        <w:rPr>
          <w:rFonts w:asciiTheme="minorHAnsi" w:hAnsiTheme="minorHAnsi"/>
          <w:szCs w:val="24"/>
        </w:rPr>
        <w:t>a</w:t>
      </w:r>
      <w:r>
        <w:rPr>
          <w:rFonts w:asciiTheme="minorHAnsi" w:hAnsiTheme="minorHAnsi"/>
          <w:szCs w:val="24"/>
        </w:rPr>
        <w:t xml:space="preserve">dmissions </w:t>
      </w:r>
      <w:r w:rsidR="006A200B">
        <w:rPr>
          <w:rFonts w:asciiTheme="minorHAnsi" w:hAnsiTheme="minorHAnsi"/>
          <w:szCs w:val="24"/>
        </w:rPr>
        <w:t>d</w:t>
      </w:r>
      <w:r>
        <w:rPr>
          <w:rFonts w:asciiTheme="minorHAnsi" w:hAnsiTheme="minorHAnsi"/>
          <w:szCs w:val="24"/>
        </w:rPr>
        <w:t xml:space="preserve">epartments </w:t>
      </w:r>
      <w:r w:rsidR="006A200B">
        <w:rPr>
          <w:rFonts w:asciiTheme="minorHAnsi" w:hAnsiTheme="minorHAnsi"/>
          <w:szCs w:val="24"/>
        </w:rPr>
        <w:t xml:space="preserve">were intended </w:t>
      </w:r>
      <w:r w:rsidR="0015708A">
        <w:rPr>
          <w:rFonts w:asciiTheme="minorHAnsi" w:hAnsiTheme="minorHAnsi"/>
          <w:szCs w:val="24"/>
        </w:rPr>
        <w:t>to promote law student well-being:</w:t>
      </w:r>
    </w:p>
    <w:p w14:paraId="33D1801A" w14:textId="77777777" w:rsidR="0015708A" w:rsidRDefault="0015708A" w:rsidP="00942EAE">
      <w:pPr>
        <w:rPr>
          <w:rFonts w:asciiTheme="minorHAnsi" w:hAnsiTheme="minorHAnsi"/>
          <w:szCs w:val="24"/>
        </w:rPr>
      </w:pPr>
    </w:p>
    <w:p w14:paraId="072C2CC8" w14:textId="77777777" w:rsidR="0015708A" w:rsidRDefault="0015708A" w:rsidP="0015708A">
      <w:pPr>
        <w:pStyle w:val="ListParagraph"/>
        <w:numPr>
          <w:ilvl w:val="0"/>
          <w:numId w:val="3"/>
        </w:numPr>
        <w:rPr>
          <w:rFonts w:asciiTheme="minorHAnsi" w:hAnsiTheme="minorHAnsi"/>
          <w:szCs w:val="24"/>
        </w:rPr>
      </w:pPr>
      <w:r>
        <w:rPr>
          <w:rFonts w:asciiTheme="minorHAnsi" w:hAnsiTheme="minorHAnsi"/>
          <w:szCs w:val="24"/>
        </w:rPr>
        <w:t>Re-Evaluate Bar Application Inquiries about Mental Health History;</w:t>
      </w:r>
    </w:p>
    <w:p w14:paraId="44BEA523" w14:textId="77777777" w:rsidR="0015708A" w:rsidRDefault="0015708A" w:rsidP="0015708A">
      <w:pPr>
        <w:pStyle w:val="ListParagraph"/>
        <w:numPr>
          <w:ilvl w:val="0"/>
          <w:numId w:val="3"/>
        </w:numPr>
        <w:rPr>
          <w:rFonts w:asciiTheme="minorHAnsi" w:hAnsiTheme="minorHAnsi"/>
          <w:szCs w:val="24"/>
        </w:rPr>
      </w:pPr>
      <w:r>
        <w:rPr>
          <w:rFonts w:asciiTheme="minorHAnsi" w:hAnsiTheme="minorHAnsi"/>
          <w:szCs w:val="24"/>
        </w:rPr>
        <w:t>Adopt Essential Eligibility Admission Requirements;</w:t>
      </w:r>
    </w:p>
    <w:p w14:paraId="60D1F732" w14:textId="77777777" w:rsidR="0015708A" w:rsidRDefault="0015708A" w:rsidP="0015708A">
      <w:pPr>
        <w:pStyle w:val="ListParagraph"/>
        <w:numPr>
          <w:ilvl w:val="0"/>
          <w:numId w:val="3"/>
        </w:numPr>
        <w:rPr>
          <w:rFonts w:asciiTheme="minorHAnsi" w:hAnsiTheme="minorHAnsi"/>
          <w:szCs w:val="24"/>
        </w:rPr>
      </w:pPr>
      <w:r>
        <w:rPr>
          <w:rFonts w:asciiTheme="minorHAnsi" w:hAnsiTheme="minorHAnsi"/>
          <w:szCs w:val="24"/>
        </w:rPr>
        <w:t>Adopt a Rule for Conditional Admission to Practice Law with Specific Requirements and Conditions; and</w:t>
      </w:r>
    </w:p>
    <w:p w14:paraId="72051DF1" w14:textId="77777777" w:rsidR="0015708A" w:rsidRDefault="0015708A" w:rsidP="0015708A">
      <w:pPr>
        <w:pStyle w:val="ListParagraph"/>
        <w:numPr>
          <w:ilvl w:val="0"/>
          <w:numId w:val="3"/>
        </w:numPr>
        <w:rPr>
          <w:rFonts w:asciiTheme="minorHAnsi" w:hAnsiTheme="minorHAnsi"/>
          <w:szCs w:val="24"/>
        </w:rPr>
      </w:pPr>
      <w:r>
        <w:rPr>
          <w:rFonts w:asciiTheme="minorHAnsi" w:hAnsiTheme="minorHAnsi"/>
          <w:szCs w:val="24"/>
        </w:rPr>
        <w:t>Publish Data Reflecting Low Rate of Denied Admissions Due to Mental Health Disorders and Substance Use.</w:t>
      </w:r>
    </w:p>
    <w:p w14:paraId="495A8C27" w14:textId="77777777" w:rsidR="0015708A" w:rsidRDefault="0015708A" w:rsidP="0015708A">
      <w:pPr>
        <w:rPr>
          <w:rFonts w:asciiTheme="minorHAnsi" w:hAnsiTheme="minorHAnsi"/>
          <w:szCs w:val="24"/>
        </w:rPr>
      </w:pPr>
      <w:r>
        <w:rPr>
          <w:rFonts w:asciiTheme="minorHAnsi" w:hAnsiTheme="minorHAnsi"/>
          <w:szCs w:val="24"/>
        </w:rPr>
        <w:tab/>
      </w:r>
    </w:p>
    <w:p w14:paraId="31BF99B2" w14:textId="21C1DFD8" w:rsidR="00C511B4" w:rsidRDefault="0015708A" w:rsidP="0015708A">
      <w:pPr>
        <w:rPr>
          <w:rFonts w:asciiTheme="minorHAnsi" w:hAnsiTheme="minorHAnsi"/>
          <w:szCs w:val="24"/>
        </w:rPr>
      </w:pPr>
      <w:r>
        <w:rPr>
          <w:rFonts w:asciiTheme="minorHAnsi" w:hAnsiTheme="minorHAnsi"/>
          <w:szCs w:val="24"/>
        </w:rPr>
        <w:tab/>
      </w:r>
      <w:r w:rsidR="007F7B1A">
        <w:rPr>
          <w:rFonts w:asciiTheme="minorHAnsi" w:hAnsiTheme="minorHAnsi"/>
          <w:szCs w:val="24"/>
        </w:rPr>
        <w:t>In October 2017, the Oregon Council on Legal Education and Admissions to the Bar (OCLEAB) review</w:t>
      </w:r>
      <w:r w:rsidR="00C511B4">
        <w:rPr>
          <w:rFonts w:asciiTheme="minorHAnsi" w:hAnsiTheme="minorHAnsi"/>
          <w:szCs w:val="24"/>
        </w:rPr>
        <w:t>ed</w:t>
      </w:r>
      <w:r w:rsidR="007F7B1A">
        <w:rPr>
          <w:rFonts w:asciiTheme="minorHAnsi" w:hAnsiTheme="minorHAnsi"/>
          <w:szCs w:val="24"/>
        </w:rPr>
        <w:t xml:space="preserve"> </w:t>
      </w:r>
      <w:r w:rsidR="00634C34">
        <w:rPr>
          <w:rFonts w:asciiTheme="minorHAnsi" w:hAnsiTheme="minorHAnsi"/>
          <w:szCs w:val="24"/>
        </w:rPr>
        <w:t xml:space="preserve">and discussed </w:t>
      </w:r>
      <w:r w:rsidR="007F7B1A">
        <w:rPr>
          <w:rFonts w:asciiTheme="minorHAnsi" w:hAnsiTheme="minorHAnsi"/>
          <w:szCs w:val="24"/>
        </w:rPr>
        <w:t xml:space="preserve">the Nee Study, </w:t>
      </w:r>
      <w:r w:rsidR="006A200B">
        <w:rPr>
          <w:rFonts w:asciiTheme="minorHAnsi" w:hAnsiTheme="minorHAnsi"/>
          <w:szCs w:val="24"/>
        </w:rPr>
        <w:t xml:space="preserve">the </w:t>
      </w:r>
      <w:proofErr w:type="spellStart"/>
      <w:r w:rsidR="007F7B1A">
        <w:rPr>
          <w:rFonts w:asciiTheme="minorHAnsi" w:hAnsiTheme="minorHAnsi"/>
          <w:szCs w:val="24"/>
        </w:rPr>
        <w:t>Hazelden</w:t>
      </w:r>
      <w:proofErr w:type="spellEnd"/>
      <w:r w:rsidR="007F7B1A">
        <w:rPr>
          <w:rFonts w:asciiTheme="minorHAnsi" w:hAnsiTheme="minorHAnsi"/>
          <w:szCs w:val="24"/>
        </w:rPr>
        <w:t xml:space="preserve"> Study and the </w:t>
      </w:r>
      <w:r w:rsidR="00A523EB">
        <w:rPr>
          <w:rFonts w:asciiTheme="minorHAnsi" w:hAnsiTheme="minorHAnsi"/>
          <w:szCs w:val="24"/>
        </w:rPr>
        <w:t xml:space="preserve">ABA </w:t>
      </w:r>
      <w:r w:rsidR="007F7B1A">
        <w:rPr>
          <w:rFonts w:asciiTheme="minorHAnsi" w:hAnsiTheme="minorHAnsi"/>
          <w:szCs w:val="24"/>
        </w:rPr>
        <w:t xml:space="preserve">Report.  The participants in OCLEAB also reviewed </w:t>
      </w:r>
      <w:r w:rsidR="00634C34">
        <w:rPr>
          <w:rFonts w:asciiTheme="minorHAnsi" w:hAnsiTheme="minorHAnsi"/>
          <w:szCs w:val="24"/>
        </w:rPr>
        <w:t xml:space="preserve">and discussed </w:t>
      </w:r>
      <w:r w:rsidR="007F7B1A">
        <w:rPr>
          <w:rFonts w:asciiTheme="minorHAnsi" w:hAnsiTheme="minorHAnsi"/>
          <w:szCs w:val="24"/>
        </w:rPr>
        <w:t xml:space="preserve">the success of the BBX’s conditional admission program.  Following the 2017 OCLEAB, </w:t>
      </w:r>
      <w:r w:rsidR="008929F4">
        <w:rPr>
          <w:rFonts w:asciiTheme="minorHAnsi" w:hAnsiTheme="minorHAnsi"/>
          <w:szCs w:val="24"/>
        </w:rPr>
        <w:t>The BBX</w:t>
      </w:r>
      <w:r>
        <w:rPr>
          <w:rFonts w:asciiTheme="minorHAnsi" w:hAnsiTheme="minorHAnsi"/>
          <w:szCs w:val="24"/>
        </w:rPr>
        <w:t xml:space="preserve"> </w:t>
      </w:r>
      <w:r w:rsidR="00C511B4">
        <w:rPr>
          <w:rFonts w:asciiTheme="minorHAnsi" w:hAnsiTheme="minorHAnsi"/>
          <w:szCs w:val="24"/>
        </w:rPr>
        <w:t xml:space="preserve">determined that no changes were required to its conditional admission program </w:t>
      </w:r>
      <w:r w:rsidR="006A200B">
        <w:rPr>
          <w:rFonts w:asciiTheme="minorHAnsi" w:hAnsiTheme="minorHAnsi"/>
          <w:szCs w:val="24"/>
        </w:rPr>
        <w:t xml:space="preserve">and </w:t>
      </w:r>
      <w:r w:rsidR="00C511B4">
        <w:rPr>
          <w:rFonts w:asciiTheme="minorHAnsi" w:hAnsiTheme="minorHAnsi"/>
          <w:szCs w:val="24"/>
        </w:rPr>
        <w:t xml:space="preserve">made </w:t>
      </w:r>
      <w:r w:rsidR="007F7B1A">
        <w:rPr>
          <w:rFonts w:asciiTheme="minorHAnsi" w:hAnsiTheme="minorHAnsi"/>
          <w:szCs w:val="24"/>
        </w:rPr>
        <w:t xml:space="preserve">minor changes to </w:t>
      </w:r>
      <w:r w:rsidR="00634C34">
        <w:rPr>
          <w:rFonts w:asciiTheme="minorHAnsi" w:hAnsiTheme="minorHAnsi"/>
          <w:szCs w:val="24"/>
        </w:rPr>
        <w:t xml:space="preserve">bar application </w:t>
      </w:r>
      <w:r w:rsidR="004E67A6">
        <w:rPr>
          <w:rFonts w:asciiTheme="minorHAnsi" w:hAnsiTheme="minorHAnsi"/>
          <w:szCs w:val="24"/>
        </w:rPr>
        <w:t xml:space="preserve">questions </w:t>
      </w:r>
      <w:r w:rsidR="007F7B1A">
        <w:rPr>
          <w:rFonts w:asciiTheme="minorHAnsi" w:hAnsiTheme="minorHAnsi"/>
          <w:szCs w:val="24"/>
        </w:rPr>
        <w:t xml:space="preserve">about </w:t>
      </w:r>
      <w:r w:rsidR="00C511B4">
        <w:rPr>
          <w:rFonts w:asciiTheme="minorHAnsi" w:hAnsiTheme="minorHAnsi"/>
          <w:szCs w:val="24"/>
        </w:rPr>
        <w:t>m</w:t>
      </w:r>
      <w:r w:rsidR="007F7B1A">
        <w:rPr>
          <w:rFonts w:asciiTheme="minorHAnsi" w:hAnsiTheme="minorHAnsi"/>
          <w:szCs w:val="24"/>
        </w:rPr>
        <w:t xml:space="preserve">ental </w:t>
      </w:r>
      <w:r w:rsidR="00C511B4">
        <w:rPr>
          <w:rFonts w:asciiTheme="minorHAnsi" w:hAnsiTheme="minorHAnsi"/>
          <w:szCs w:val="24"/>
        </w:rPr>
        <w:t>h</w:t>
      </w:r>
      <w:r w:rsidR="007F7B1A">
        <w:rPr>
          <w:rFonts w:asciiTheme="minorHAnsi" w:hAnsiTheme="minorHAnsi"/>
          <w:szCs w:val="24"/>
        </w:rPr>
        <w:t>ealth</w:t>
      </w:r>
      <w:r w:rsidR="00C511B4">
        <w:rPr>
          <w:rFonts w:asciiTheme="minorHAnsi" w:hAnsiTheme="minorHAnsi"/>
          <w:szCs w:val="24"/>
        </w:rPr>
        <w:t xml:space="preserve"> history.  </w:t>
      </w:r>
    </w:p>
    <w:p w14:paraId="1E78203A" w14:textId="77777777" w:rsidR="00C511B4" w:rsidRDefault="00C511B4" w:rsidP="0015708A">
      <w:pPr>
        <w:rPr>
          <w:rFonts w:asciiTheme="minorHAnsi" w:hAnsiTheme="minorHAnsi"/>
          <w:szCs w:val="24"/>
        </w:rPr>
      </w:pPr>
    </w:p>
    <w:p w14:paraId="01790D64" w14:textId="1CF76634" w:rsidR="00F2062B" w:rsidRDefault="00C511B4" w:rsidP="0015708A">
      <w:pPr>
        <w:rPr>
          <w:rFonts w:asciiTheme="minorHAnsi" w:hAnsiTheme="minorHAnsi"/>
          <w:szCs w:val="24"/>
        </w:rPr>
      </w:pPr>
      <w:r>
        <w:rPr>
          <w:rFonts w:asciiTheme="minorHAnsi" w:hAnsiTheme="minorHAnsi"/>
          <w:szCs w:val="24"/>
        </w:rPr>
        <w:lastRenderedPageBreak/>
        <w:tab/>
        <w:t>Later in 2018, the BBX determined that an independent body should re-evaluate the bar application inquir</w:t>
      </w:r>
      <w:r w:rsidR="00634C34">
        <w:rPr>
          <w:rFonts w:asciiTheme="minorHAnsi" w:hAnsiTheme="minorHAnsi"/>
          <w:szCs w:val="24"/>
        </w:rPr>
        <w:t>i</w:t>
      </w:r>
      <w:r>
        <w:rPr>
          <w:rFonts w:asciiTheme="minorHAnsi" w:hAnsiTheme="minorHAnsi"/>
          <w:szCs w:val="24"/>
        </w:rPr>
        <w:t>es about mental health and substance use and the screening of these fitness issues</w:t>
      </w:r>
      <w:r w:rsidR="008929F4">
        <w:rPr>
          <w:rFonts w:asciiTheme="minorHAnsi" w:hAnsiTheme="minorHAnsi"/>
          <w:szCs w:val="24"/>
        </w:rPr>
        <w:t xml:space="preserve">.  </w:t>
      </w:r>
      <w:r>
        <w:rPr>
          <w:rFonts w:asciiTheme="minorHAnsi" w:hAnsiTheme="minorHAnsi"/>
          <w:szCs w:val="24"/>
        </w:rPr>
        <w:t xml:space="preserve">It was also </w:t>
      </w:r>
      <w:r w:rsidR="00364BD7">
        <w:rPr>
          <w:rFonts w:asciiTheme="minorHAnsi" w:hAnsiTheme="minorHAnsi"/>
          <w:szCs w:val="24"/>
        </w:rPr>
        <w:t>contemplated</w:t>
      </w:r>
      <w:r>
        <w:rPr>
          <w:rFonts w:asciiTheme="minorHAnsi" w:hAnsiTheme="minorHAnsi"/>
          <w:szCs w:val="24"/>
        </w:rPr>
        <w:t xml:space="preserve"> that </w:t>
      </w:r>
      <w:r w:rsidR="00364BD7">
        <w:rPr>
          <w:rFonts w:asciiTheme="minorHAnsi" w:hAnsiTheme="minorHAnsi"/>
          <w:szCs w:val="24"/>
        </w:rPr>
        <w:t xml:space="preserve">the development of </w:t>
      </w:r>
      <w:r w:rsidRPr="00364BD7">
        <w:rPr>
          <w:rFonts w:asciiTheme="minorHAnsi" w:hAnsiTheme="minorHAnsi"/>
          <w:szCs w:val="24"/>
        </w:rPr>
        <w:t>essential eligibility admission requirements</w:t>
      </w:r>
      <w:r>
        <w:rPr>
          <w:rFonts w:asciiTheme="minorHAnsi" w:hAnsiTheme="minorHAnsi"/>
          <w:szCs w:val="24"/>
        </w:rPr>
        <w:t xml:space="preserve"> might help shape these inquiries or, at least, help future applicants understand the abilities needed to become a licensed lawyer in the State of Oregon</w:t>
      </w:r>
      <w:r w:rsidR="008929F4">
        <w:rPr>
          <w:rFonts w:asciiTheme="minorHAnsi" w:hAnsiTheme="minorHAnsi"/>
          <w:szCs w:val="24"/>
        </w:rPr>
        <w:t>.</w:t>
      </w:r>
      <w:r>
        <w:rPr>
          <w:rFonts w:asciiTheme="minorHAnsi" w:hAnsiTheme="minorHAnsi"/>
          <w:szCs w:val="24"/>
        </w:rPr>
        <w:t xml:space="preserve">  In September 2018, </w:t>
      </w:r>
      <w:r w:rsidR="00364BD7">
        <w:rPr>
          <w:rFonts w:asciiTheme="minorHAnsi" w:hAnsiTheme="minorHAnsi"/>
          <w:szCs w:val="24"/>
        </w:rPr>
        <w:t xml:space="preserve">after discussing the scope of </w:t>
      </w:r>
      <w:r w:rsidR="00776481">
        <w:rPr>
          <w:rFonts w:asciiTheme="minorHAnsi" w:hAnsiTheme="minorHAnsi"/>
          <w:szCs w:val="24"/>
        </w:rPr>
        <w:t>a</w:t>
      </w:r>
      <w:r w:rsidR="00364BD7">
        <w:rPr>
          <w:rFonts w:asciiTheme="minorHAnsi" w:hAnsiTheme="minorHAnsi"/>
          <w:szCs w:val="24"/>
        </w:rPr>
        <w:t xml:space="preserve"> task force’s charge, </w:t>
      </w:r>
      <w:r>
        <w:rPr>
          <w:rFonts w:asciiTheme="minorHAnsi" w:hAnsiTheme="minorHAnsi"/>
          <w:szCs w:val="24"/>
        </w:rPr>
        <w:t xml:space="preserve">the BBX voted to create </w:t>
      </w:r>
      <w:r w:rsidR="00634C34">
        <w:rPr>
          <w:rFonts w:asciiTheme="minorHAnsi" w:hAnsiTheme="minorHAnsi"/>
          <w:szCs w:val="24"/>
        </w:rPr>
        <w:t>a task force</w:t>
      </w:r>
      <w:r w:rsidR="00364BD7">
        <w:rPr>
          <w:rFonts w:asciiTheme="minorHAnsi" w:hAnsiTheme="minorHAnsi"/>
          <w:szCs w:val="24"/>
        </w:rPr>
        <w:t>,</w:t>
      </w:r>
      <w:r w:rsidR="00634C34">
        <w:rPr>
          <w:rFonts w:asciiTheme="minorHAnsi" w:hAnsiTheme="minorHAnsi"/>
          <w:szCs w:val="24"/>
        </w:rPr>
        <w:t xml:space="preserve"> </w:t>
      </w:r>
      <w:r w:rsidR="00364BD7">
        <w:rPr>
          <w:rFonts w:asciiTheme="minorHAnsi" w:hAnsiTheme="minorHAnsi"/>
          <w:szCs w:val="24"/>
        </w:rPr>
        <w:t>and empowered</w:t>
      </w:r>
      <w:r w:rsidR="00F2062B">
        <w:rPr>
          <w:rFonts w:asciiTheme="minorHAnsi" w:hAnsiTheme="minorHAnsi"/>
          <w:szCs w:val="24"/>
        </w:rPr>
        <w:t xml:space="preserve"> the BBX Chair </w:t>
      </w:r>
      <w:r w:rsidR="00364BD7">
        <w:rPr>
          <w:rFonts w:asciiTheme="minorHAnsi" w:hAnsiTheme="minorHAnsi"/>
          <w:szCs w:val="24"/>
        </w:rPr>
        <w:t xml:space="preserve">to </w:t>
      </w:r>
      <w:r w:rsidR="00F2062B">
        <w:rPr>
          <w:rFonts w:asciiTheme="minorHAnsi" w:hAnsiTheme="minorHAnsi"/>
          <w:szCs w:val="24"/>
        </w:rPr>
        <w:t xml:space="preserve">appoint </w:t>
      </w:r>
      <w:r w:rsidR="00364BD7">
        <w:rPr>
          <w:rFonts w:asciiTheme="minorHAnsi" w:hAnsiTheme="minorHAnsi"/>
          <w:szCs w:val="24"/>
        </w:rPr>
        <w:t xml:space="preserve">its </w:t>
      </w:r>
      <w:r w:rsidR="008C564B">
        <w:rPr>
          <w:rFonts w:asciiTheme="minorHAnsi" w:hAnsiTheme="minorHAnsi"/>
          <w:szCs w:val="24"/>
        </w:rPr>
        <w:t>members and</w:t>
      </w:r>
      <w:r w:rsidR="00F2062B">
        <w:rPr>
          <w:rFonts w:asciiTheme="minorHAnsi" w:hAnsiTheme="minorHAnsi"/>
          <w:szCs w:val="24"/>
        </w:rPr>
        <w:t xml:space="preserve"> </w:t>
      </w:r>
      <w:r w:rsidR="008C564B">
        <w:rPr>
          <w:rFonts w:asciiTheme="minorHAnsi" w:hAnsiTheme="minorHAnsi"/>
          <w:szCs w:val="24"/>
        </w:rPr>
        <w:t>formulate the</w:t>
      </w:r>
      <w:r w:rsidR="00364BD7">
        <w:rPr>
          <w:rFonts w:asciiTheme="minorHAnsi" w:hAnsiTheme="minorHAnsi"/>
          <w:szCs w:val="24"/>
        </w:rPr>
        <w:t xml:space="preserve"> </w:t>
      </w:r>
      <w:r>
        <w:rPr>
          <w:rFonts w:asciiTheme="minorHAnsi" w:hAnsiTheme="minorHAnsi"/>
          <w:szCs w:val="24"/>
        </w:rPr>
        <w:t>charges</w:t>
      </w:r>
      <w:r w:rsidR="00F2062B">
        <w:rPr>
          <w:rFonts w:asciiTheme="minorHAnsi" w:hAnsiTheme="minorHAnsi"/>
          <w:szCs w:val="24"/>
        </w:rPr>
        <w:t xml:space="preserve"> for the task force to consider</w:t>
      </w:r>
      <w:r w:rsidR="00364BD7">
        <w:rPr>
          <w:rFonts w:asciiTheme="minorHAnsi" w:hAnsiTheme="minorHAnsi"/>
          <w:szCs w:val="24"/>
        </w:rPr>
        <w:t>, based upon that discussion</w:t>
      </w:r>
      <w:r w:rsidR="00F2062B">
        <w:rPr>
          <w:rFonts w:asciiTheme="minorHAnsi" w:hAnsiTheme="minorHAnsi"/>
          <w:szCs w:val="24"/>
        </w:rPr>
        <w:t xml:space="preserve">.  </w:t>
      </w:r>
    </w:p>
    <w:p w14:paraId="1C037146" w14:textId="77777777" w:rsidR="00F2062B" w:rsidRDefault="00F2062B" w:rsidP="0015708A">
      <w:pPr>
        <w:rPr>
          <w:rFonts w:asciiTheme="minorHAnsi" w:hAnsiTheme="minorHAnsi"/>
          <w:szCs w:val="24"/>
        </w:rPr>
      </w:pPr>
    </w:p>
    <w:p w14:paraId="4B1D49E5" w14:textId="2610DB83" w:rsidR="0015708A" w:rsidRDefault="00F2062B" w:rsidP="0015708A">
      <w:pPr>
        <w:rPr>
          <w:rFonts w:asciiTheme="minorHAnsi" w:hAnsiTheme="minorHAnsi"/>
          <w:szCs w:val="24"/>
        </w:rPr>
      </w:pPr>
      <w:r>
        <w:rPr>
          <w:rFonts w:asciiTheme="minorHAnsi" w:hAnsiTheme="minorHAnsi"/>
          <w:szCs w:val="24"/>
        </w:rPr>
        <w:tab/>
        <w:t xml:space="preserve">The Task Force </w:t>
      </w:r>
      <w:proofErr w:type="gramStart"/>
      <w:r>
        <w:rPr>
          <w:rFonts w:asciiTheme="minorHAnsi" w:hAnsiTheme="minorHAnsi"/>
          <w:szCs w:val="24"/>
        </w:rPr>
        <w:t>is appointed</w:t>
      </w:r>
      <w:proofErr w:type="gramEnd"/>
      <w:r>
        <w:rPr>
          <w:rFonts w:asciiTheme="minorHAnsi" w:hAnsiTheme="minorHAnsi"/>
          <w:szCs w:val="24"/>
        </w:rPr>
        <w:t xml:space="preserve"> to </w:t>
      </w:r>
      <w:r w:rsidR="00C069DA">
        <w:rPr>
          <w:rFonts w:asciiTheme="minorHAnsi" w:hAnsiTheme="minorHAnsi"/>
          <w:szCs w:val="24"/>
        </w:rPr>
        <w:t>examine the following two topics</w:t>
      </w:r>
      <w:r w:rsidR="00E71384">
        <w:rPr>
          <w:rFonts w:asciiTheme="minorHAnsi" w:hAnsiTheme="minorHAnsi"/>
          <w:szCs w:val="24"/>
        </w:rPr>
        <w:t xml:space="preserve"> by reviewing other jurisdictions’ treatment of them, identify</w:t>
      </w:r>
      <w:r w:rsidR="0062710B">
        <w:rPr>
          <w:rFonts w:asciiTheme="minorHAnsi" w:hAnsiTheme="minorHAnsi"/>
          <w:szCs w:val="24"/>
        </w:rPr>
        <w:t>ing</w:t>
      </w:r>
      <w:r w:rsidR="00E71384">
        <w:rPr>
          <w:rFonts w:asciiTheme="minorHAnsi" w:hAnsiTheme="minorHAnsi"/>
          <w:szCs w:val="24"/>
        </w:rPr>
        <w:t xml:space="preserve"> and develop</w:t>
      </w:r>
      <w:r w:rsidR="0062710B">
        <w:rPr>
          <w:rFonts w:asciiTheme="minorHAnsi" w:hAnsiTheme="minorHAnsi"/>
          <w:szCs w:val="24"/>
        </w:rPr>
        <w:t>ing</w:t>
      </w:r>
      <w:r w:rsidR="00E71384">
        <w:rPr>
          <w:rFonts w:asciiTheme="minorHAnsi" w:hAnsiTheme="minorHAnsi"/>
          <w:szCs w:val="24"/>
        </w:rPr>
        <w:t xml:space="preserve"> a compilation of best practices based upon that </w:t>
      </w:r>
      <w:r w:rsidR="008C564B">
        <w:rPr>
          <w:rFonts w:asciiTheme="minorHAnsi" w:hAnsiTheme="minorHAnsi"/>
          <w:szCs w:val="24"/>
        </w:rPr>
        <w:t>review, and</w:t>
      </w:r>
      <w:r>
        <w:rPr>
          <w:rFonts w:asciiTheme="minorHAnsi" w:hAnsiTheme="minorHAnsi"/>
          <w:szCs w:val="24"/>
        </w:rPr>
        <w:t xml:space="preserve"> mak</w:t>
      </w:r>
      <w:r w:rsidR="0062710B">
        <w:rPr>
          <w:rFonts w:asciiTheme="minorHAnsi" w:hAnsiTheme="minorHAnsi"/>
          <w:szCs w:val="24"/>
        </w:rPr>
        <w:t>ing</w:t>
      </w:r>
      <w:r>
        <w:rPr>
          <w:rFonts w:asciiTheme="minorHAnsi" w:hAnsiTheme="minorHAnsi"/>
          <w:szCs w:val="24"/>
        </w:rPr>
        <w:t xml:space="preserve"> recommendations to the BBX</w:t>
      </w:r>
      <w:r w:rsidR="00C511B4">
        <w:rPr>
          <w:rFonts w:asciiTheme="minorHAnsi" w:hAnsiTheme="minorHAnsi"/>
          <w:szCs w:val="24"/>
        </w:rPr>
        <w:t>:</w:t>
      </w:r>
    </w:p>
    <w:p w14:paraId="3DA8B5C3" w14:textId="77777777" w:rsidR="008929F4" w:rsidRDefault="008929F4" w:rsidP="0015708A">
      <w:pPr>
        <w:rPr>
          <w:rFonts w:asciiTheme="minorHAnsi" w:hAnsiTheme="minorHAnsi"/>
          <w:szCs w:val="24"/>
        </w:rPr>
      </w:pPr>
    </w:p>
    <w:p w14:paraId="0C51DAA7" w14:textId="69384DDA" w:rsidR="008C564B" w:rsidRPr="0062710B" w:rsidRDefault="00E71384" w:rsidP="00DA717A">
      <w:pPr>
        <w:pStyle w:val="ListParagraph"/>
        <w:numPr>
          <w:ilvl w:val="0"/>
          <w:numId w:val="4"/>
        </w:numPr>
        <w:rPr>
          <w:rFonts w:asciiTheme="minorHAnsi" w:hAnsiTheme="minorHAnsi"/>
          <w:szCs w:val="24"/>
        </w:rPr>
      </w:pPr>
      <w:r w:rsidRPr="00360E3E">
        <w:rPr>
          <w:rFonts w:asciiTheme="minorHAnsi" w:hAnsiTheme="minorHAnsi"/>
          <w:szCs w:val="24"/>
          <w:u w:val="single"/>
        </w:rPr>
        <w:t>Essential Eligibility Requirements</w:t>
      </w:r>
      <w:r w:rsidRPr="00360E3E">
        <w:rPr>
          <w:rFonts w:asciiTheme="minorHAnsi" w:hAnsiTheme="minorHAnsi"/>
          <w:szCs w:val="24"/>
        </w:rPr>
        <w:t>.</w:t>
      </w:r>
      <w:r w:rsidR="008C564B" w:rsidRPr="00360E3E">
        <w:rPr>
          <w:rFonts w:asciiTheme="minorHAnsi" w:hAnsiTheme="minorHAnsi"/>
          <w:szCs w:val="24"/>
        </w:rPr>
        <w:t xml:space="preserve">  </w:t>
      </w:r>
      <w:r w:rsidR="00D01CCD" w:rsidRPr="00360E3E">
        <w:rPr>
          <w:rFonts w:asciiTheme="minorHAnsi" w:hAnsiTheme="minorHAnsi"/>
          <w:szCs w:val="24"/>
        </w:rPr>
        <w:t>The ABA Report recommends</w:t>
      </w:r>
      <w:r w:rsidR="00C511B4" w:rsidRPr="00360E3E">
        <w:rPr>
          <w:rFonts w:asciiTheme="minorHAnsi" w:hAnsiTheme="minorHAnsi"/>
          <w:szCs w:val="24"/>
        </w:rPr>
        <w:t xml:space="preserve"> th</w:t>
      </w:r>
      <w:r w:rsidRPr="00360E3E">
        <w:rPr>
          <w:rFonts w:asciiTheme="minorHAnsi" w:hAnsiTheme="minorHAnsi"/>
          <w:szCs w:val="24"/>
        </w:rPr>
        <w:t xml:space="preserve">e </w:t>
      </w:r>
      <w:r w:rsidR="00C511B4" w:rsidRPr="00360E3E">
        <w:rPr>
          <w:rFonts w:asciiTheme="minorHAnsi" w:hAnsiTheme="minorHAnsi"/>
          <w:szCs w:val="24"/>
        </w:rPr>
        <w:t>adopt</w:t>
      </w:r>
      <w:r w:rsidRPr="00360E3E">
        <w:rPr>
          <w:rFonts w:asciiTheme="minorHAnsi" w:hAnsiTheme="minorHAnsi"/>
          <w:szCs w:val="24"/>
        </w:rPr>
        <w:t>ion of</w:t>
      </w:r>
      <w:r w:rsidR="00C511B4" w:rsidRPr="00360E3E">
        <w:rPr>
          <w:rFonts w:asciiTheme="minorHAnsi" w:hAnsiTheme="minorHAnsi"/>
          <w:szCs w:val="24"/>
        </w:rPr>
        <w:t xml:space="preserve"> </w:t>
      </w:r>
      <w:r w:rsidRPr="00360E3E">
        <w:rPr>
          <w:rFonts w:asciiTheme="minorHAnsi" w:hAnsiTheme="minorHAnsi"/>
          <w:szCs w:val="24"/>
        </w:rPr>
        <w:t>e</w:t>
      </w:r>
      <w:r w:rsidR="00C511B4" w:rsidRPr="00360E3E">
        <w:rPr>
          <w:rFonts w:asciiTheme="minorHAnsi" w:hAnsiTheme="minorHAnsi"/>
          <w:szCs w:val="24"/>
        </w:rPr>
        <w:t xml:space="preserve">ssential </w:t>
      </w:r>
      <w:r w:rsidRPr="00360E3E">
        <w:rPr>
          <w:rFonts w:asciiTheme="minorHAnsi" w:hAnsiTheme="minorHAnsi"/>
          <w:szCs w:val="24"/>
        </w:rPr>
        <w:t>e</w:t>
      </w:r>
      <w:r w:rsidR="00C511B4" w:rsidRPr="00360E3E">
        <w:rPr>
          <w:rFonts w:asciiTheme="minorHAnsi" w:hAnsiTheme="minorHAnsi"/>
          <w:szCs w:val="24"/>
        </w:rPr>
        <w:t xml:space="preserve">ligibility </w:t>
      </w:r>
      <w:r w:rsidRPr="00360E3E">
        <w:rPr>
          <w:rFonts w:asciiTheme="minorHAnsi" w:hAnsiTheme="minorHAnsi"/>
          <w:szCs w:val="24"/>
        </w:rPr>
        <w:t>r</w:t>
      </w:r>
      <w:r w:rsidR="00C511B4" w:rsidRPr="00360E3E">
        <w:rPr>
          <w:rFonts w:asciiTheme="minorHAnsi" w:hAnsiTheme="minorHAnsi"/>
          <w:szCs w:val="24"/>
        </w:rPr>
        <w:t>equirements.  </w:t>
      </w:r>
      <w:r w:rsidR="00F2062B" w:rsidRPr="00360E3E">
        <w:rPr>
          <w:rFonts w:asciiTheme="minorHAnsi" w:hAnsiTheme="minorHAnsi"/>
          <w:szCs w:val="24"/>
        </w:rPr>
        <w:t>Approximately 1</w:t>
      </w:r>
      <w:r w:rsidR="00360E3E" w:rsidRPr="00360E3E">
        <w:rPr>
          <w:rFonts w:asciiTheme="minorHAnsi" w:hAnsiTheme="minorHAnsi"/>
          <w:szCs w:val="24"/>
        </w:rPr>
        <w:t>4</w:t>
      </w:r>
      <w:r w:rsidR="00C511B4" w:rsidRPr="00360E3E">
        <w:rPr>
          <w:rFonts w:asciiTheme="minorHAnsi" w:hAnsiTheme="minorHAnsi"/>
          <w:szCs w:val="24"/>
        </w:rPr>
        <w:t xml:space="preserve"> jurisdictions have such provisions</w:t>
      </w:r>
      <w:r w:rsidRPr="00360E3E">
        <w:rPr>
          <w:rFonts w:asciiTheme="minorHAnsi" w:hAnsiTheme="minorHAnsi"/>
          <w:szCs w:val="24"/>
        </w:rPr>
        <w:t xml:space="preserve"> in place</w:t>
      </w:r>
      <w:r w:rsidR="00360E3E" w:rsidRPr="00360E3E">
        <w:rPr>
          <w:rFonts w:asciiTheme="minorHAnsi" w:hAnsiTheme="minorHAnsi"/>
          <w:szCs w:val="24"/>
        </w:rPr>
        <w:t xml:space="preserve">.  </w:t>
      </w:r>
      <w:r w:rsidR="00360E3E" w:rsidRPr="0062710B">
        <w:rPr>
          <w:rFonts w:asciiTheme="minorHAnsi" w:hAnsiTheme="minorHAnsi"/>
          <w:szCs w:val="24"/>
        </w:rPr>
        <w:t xml:space="preserve">The ABA Report recommends requirements that affirmatively state the abilities needed to become a licensed lawyer. Their purpose is to provide the framework for determining whether an individual has the required abilities, with or without reasonable accommodations. The report opines that these requirements </w:t>
      </w:r>
      <w:r w:rsidR="00A523EB" w:rsidRPr="0062710B">
        <w:rPr>
          <w:rFonts w:asciiTheme="minorHAnsi" w:hAnsiTheme="minorHAnsi"/>
          <w:szCs w:val="24"/>
        </w:rPr>
        <w:t xml:space="preserve">will </w:t>
      </w:r>
      <w:r w:rsidR="00360E3E" w:rsidRPr="0062710B">
        <w:rPr>
          <w:rFonts w:asciiTheme="minorHAnsi" w:hAnsiTheme="minorHAnsi"/>
          <w:szCs w:val="24"/>
        </w:rPr>
        <w:t>help the applicant, the admissions authority, and the medical expert understand what is needed to demonstrate fitness to practice law.</w:t>
      </w:r>
      <w:r w:rsidR="00C511B4" w:rsidRPr="0062710B">
        <w:rPr>
          <w:rFonts w:asciiTheme="minorHAnsi" w:hAnsiTheme="minorHAnsi"/>
          <w:szCs w:val="24"/>
        </w:rPr>
        <w:t xml:space="preserve"> </w:t>
      </w:r>
    </w:p>
    <w:p w14:paraId="3B3DDFDB" w14:textId="77777777" w:rsidR="008C564B" w:rsidRDefault="008C564B" w:rsidP="008C564B">
      <w:pPr>
        <w:pStyle w:val="ListParagraph"/>
        <w:ind w:left="1080"/>
        <w:rPr>
          <w:rFonts w:asciiTheme="minorHAnsi" w:hAnsiTheme="minorHAnsi"/>
          <w:szCs w:val="24"/>
        </w:rPr>
      </w:pPr>
    </w:p>
    <w:p w14:paraId="4FC1AE52" w14:textId="77777777" w:rsidR="008C564B" w:rsidRDefault="00E71384" w:rsidP="008C564B">
      <w:pPr>
        <w:pStyle w:val="ListParagraph"/>
        <w:numPr>
          <w:ilvl w:val="0"/>
          <w:numId w:val="4"/>
        </w:numPr>
        <w:rPr>
          <w:rFonts w:asciiTheme="minorHAnsi" w:hAnsiTheme="minorHAnsi"/>
          <w:szCs w:val="24"/>
        </w:rPr>
      </w:pPr>
      <w:r w:rsidRPr="008C564B">
        <w:rPr>
          <w:rFonts w:asciiTheme="minorHAnsi" w:hAnsiTheme="minorHAnsi"/>
          <w:szCs w:val="24"/>
          <w:u w:val="single"/>
        </w:rPr>
        <w:t>Bar Application Fitness Inquiries</w:t>
      </w:r>
      <w:r w:rsidRPr="008C564B">
        <w:rPr>
          <w:rFonts w:asciiTheme="minorHAnsi" w:hAnsiTheme="minorHAnsi"/>
          <w:szCs w:val="24"/>
        </w:rPr>
        <w:t>. Oregon, consistent with a majority of states,</w:t>
      </w:r>
      <w:r w:rsidR="00352F06" w:rsidRPr="008C564B">
        <w:rPr>
          <w:rFonts w:asciiTheme="minorHAnsi" w:hAnsiTheme="minorHAnsi"/>
          <w:szCs w:val="24"/>
        </w:rPr>
        <w:t xml:space="preserve"> utilizes</w:t>
      </w:r>
      <w:r w:rsidR="00F2062B" w:rsidRPr="008C564B">
        <w:rPr>
          <w:rFonts w:asciiTheme="minorHAnsi" w:hAnsiTheme="minorHAnsi"/>
          <w:szCs w:val="24"/>
        </w:rPr>
        <w:t xml:space="preserve"> the NCBE’s model application questions </w:t>
      </w:r>
      <w:r w:rsidR="00352F06" w:rsidRPr="008C564B">
        <w:rPr>
          <w:rFonts w:asciiTheme="minorHAnsi" w:hAnsiTheme="minorHAnsi"/>
          <w:szCs w:val="24"/>
        </w:rPr>
        <w:t>that</w:t>
      </w:r>
      <w:r w:rsidR="00F2062B" w:rsidRPr="008C564B">
        <w:rPr>
          <w:rFonts w:asciiTheme="minorHAnsi" w:hAnsiTheme="minorHAnsi"/>
          <w:szCs w:val="24"/>
        </w:rPr>
        <w:t xml:space="preserve"> screen</w:t>
      </w:r>
      <w:r w:rsidR="00352F06" w:rsidRPr="008C564B">
        <w:rPr>
          <w:rFonts w:asciiTheme="minorHAnsi" w:hAnsiTheme="minorHAnsi"/>
          <w:szCs w:val="24"/>
        </w:rPr>
        <w:t xml:space="preserve"> for </w:t>
      </w:r>
      <w:r w:rsidR="00F2062B" w:rsidRPr="008C564B">
        <w:rPr>
          <w:rFonts w:asciiTheme="minorHAnsi" w:hAnsiTheme="minorHAnsi"/>
          <w:szCs w:val="24"/>
        </w:rPr>
        <w:t xml:space="preserve">fitness issues on its application.  </w:t>
      </w:r>
      <w:r w:rsidR="00352F06" w:rsidRPr="008C564B">
        <w:rPr>
          <w:rFonts w:asciiTheme="minorHAnsi" w:hAnsiTheme="minorHAnsi"/>
          <w:szCs w:val="24"/>
        </w:rPr>
        <w:t>A few</w:t>
      </w:r>
      <w:r w:rsidR="00F2062B" w:rsidRPr="008C564B">
        <w:rPr>
          <w:rFonts w:asciiTheme="minorHAnsi" w:hAnsiTheme="minorHAnsi"/>
          <w:szCs w:val="24"/>
        </w:rPr>
        <w:t xml:space="preserve"> have moved away from asking any questions related to mental health or behavioral conditions.</w:t>
      </w:r>
      <w:r w:rsidR="00D01CCD">
        <w:rPr>
          <w:rFonts w:asciiTheme="minorHAnsi" w:hAnsiTheme="minorHAnsi"/>
          <w:szCs w:val="24"/>
        </w:rPr>
        <w:t xml:space="preserve">  These jurisdictions have adopted a more resource intensive approach to investigate and screen the backgrounds of each bar applicant.</w:t>
      </w:r>
    </w:p>
    <w:p w14:paraId="544970DB" w14:textId="77777777" w:rsidR="008C564B" w:rsidRPr="008C564B" w:rsidRDefault="008C564B" w:rsidP="008C564B">
      <w:pPr>
        <w:pStyle w:val="ListParagraph"/>
        <w:rPr>
          <w:rFonts w:asciiTheme="minorHAnsi" w:hAnsiTheme="minorHAnsi"/>
          <w:szCs w:val="24"/>
        </w:rPr>
      </w:pPr>
    </w:p>
    <w:p w14:paraId="207B5F12" w14:textId="77777777" w:rsidR="00F2062B" w:rsidRDefault="00F2062B" w:rsidP="00F2062B">
      <w:pPr>
        <w:rPr>
          <w:rFonts w:asciiTheme="minorHAnsi" w:hAnsiTheme="minorHAnsi"/>
          <w:szCs w:val="24"/>
        </w:rPr>
      </w:pPr>
      <w:r>
        <w:rPr>
          <w:rFonts w:asciiTheme="minorHAnsi" w:hAnsiTheme="minorHAnsi"/>
          <w:szCs w:val="24"/>
        </w:rPr>
        <w:tab/>
      </w:r>
      <w:r w:rsidR="00FE086C">
        <w:rPr>
          <w:rFonts w:asciiTheme="minorHAnsi" w:hAnsiTheme="minorHAnsi"/>
          <w:szCs w:val="24"/>
        </w:rPr>
        <w:t>Ideally, t</w:t>
      </w:r>
      <w:r>
        <w:rPr>
          <w:rFonts w:asciiTheme="minorHAnsi" w:hAnsiTheme="minorHAnsi"/>
          <w:szCs w:val="24"/>
        </w:rPr>
        <w:t xml:space="preserve">he </w:t>
      </w:r>
      <w:r w:rsidR="00FE086C">
        <w:rPr>
          <w:rFonts w:asciiTheme="minorHAnsi" w:hAnsiTheme="minorHAnsi"/>
          <w:szCs w:val="24"/>
        </w:rPr>
        <w:t xml:space="preserve">BBX would like to receive a written report and recommendations from the </w:t>
      </w:r>
      <w:r>
        <w:rPr>
          <w:rFonts w:asciiTheme="minorHAnsi" w:hAnsiTheme="minorHAnsi"/>
          <w:szCs w:val="24"/>
        </w:rPr>
        <w:t xml:space="preserve">Task Force </w:t>
      </w:r>
      <w:r w:rsidR="00FE086C">
        <w:rPr>
          <w:rFonts w:asciiTheme="minorHAnsi" w:hAnsiTheme="minorHAnsi"/>
          <w:szCs w:val="24"/>
        </w:rPr>
        <w:t xml:space="preserve">in time for the BBX’s September 2019 Board Meeting.  This </w:t>
      </w:r>
      <w:r w:rsidR="00634C34">
        <w:rPr>
          <w:rFonts w:asciiTheme="minorHAnsi" w:hAnsiTheme="minorHAnsi"/>
          <w:szCs w:val="24"/>
        </w:rPr>
        <w:t xml:space="preserve">will </w:t>
      </w:r>
      <w:r w:rsidR="00FE086C">
        <w:rPr>
          <w:rFonts w:asciiTheme="minorHAnsi" w:hAnsiTheme="minorHAnsi"/>
          <w:szCs w:val="24"/>
        </w:rPr>
        <w:t>provide sufficient time for the BBX to present the Task Force’s recommendations to the OCLEAB</w:t>
      </w:r>
      <w:r w:rsidR="00634C34">
        <w:rPr>
          <w:rFonts w:asciiTheme="minorHAnsi" w:hAnsiTheme="minorHAnsi"/>
          <w:szCs w:val="24"/>
        </w:rPr>
        <w:t xml:space="preserve"> in October 2019</w:t>
      </w:r>
      <w:r w:rsidR="00FE086C">
        <w:rPr>
          <w:rFonts w:asciiTheme="minorHAnsi" w:hAnsiTheme="minorHAnsi"/>
          <w:szCs w:val="24"/>
        </w:rPr>
        <w:t>.</w:t>
      </w:r>
    </w:p>
    <w:p w14:paraId="37FB0364" w14:textId="77777777" w:rsidR="00FE086C" w:rsidRDefault="00FE086C" w:rsidP="00F2062B">
      <w:pPr>
        <w:rPr>
          <w:rFonts w:asciiTheme="minorHAnsi" w:hAnsiTheme="minorHAnsi"/>
          <w:szCs w:val="24"/>
        </w:rPr>
      </w:pPr>
    </w:p>
    <w:p w14:paraId="33BDE29A" w14:textId="77777777" w:rsidR="00FE086C" w:rsidRPr="00F2062B" w:rsidRDefault="00FE086C" w:rsidP="00F2062B">
      <w:pPr>
        <w:rPr>
          <w:rFonts w:asciiTheme="minorHAnsi" w:hAnsiTheme="minorHAnsi"/>
          <w:szCs w:val="24"/>
        </w:rPr>
      </w:pPr>
      <w:r>
        <w:rPr>
          <w:rFonts w:asciiTheme="minorHAnsi" w:hAnsiTheme="minorHAnsi"/>
          <w:szCs w:val="24"/>
        </w:rPr>
        <w:tab/>
        <w:t xml:space="preserve">If you have any questions, please contact Troy Wood at </w:t>
      </w:r>
      <w:hyperlink r:id="rId8" w:history="1">
        <w:r w:rsidRPr="008F68B7">
          <w:rPr>
            <w:rStyle w:val="Hyperlink"/>
            <w:rFonts w:asciiTheme="minorHAnsi" w:hAnsiTheme="minorHAnsi"/>
            <w:szCs w:val="24"/>
          </w:rPr>
          <w:t>twood@osbar.org</w:t>
        </w:r>
      </w:hyperlink>
      <w:r>
        <w:rPr>
          <w:rFonts w:asciiTheme="minorHAnsi" w:hAnsiTheme="minorHAnsi"/>
          <w:szCs w:val="24"/>
        </w:rPr>
        <w:t xml:space="preserve"> or 503-431-6310.</w:t>
      </w:r>
    </w:p>
    <w:sectPr w:rsidR="00FE086C" w:rsidRPr="00F2062B" w:rsidSect="00007947">
      <w:footerReference w:type="even" r:id="rId9"/>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95CAE" w14:textId="77777777" w:rsidR="006F57E9" w:rsidRDefault="006F57E9">
      <w:r>
        <w:separator/>
      </w:r>
    </w:p>
  </w:endnote>
  <w:endnote w:type="continuationSeparator" w:id="0">
    <w:p w14:paraId="5B37CED8" w14:textId="77777777" w:rsidR="006F57E9" w:rsidRDefault="006F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OrigGarmnd BT">
    <w:altName w:val="Times New Roman"/>
    <w:charset w:val="00"/>
    <w:family w:val="roman"/>
    <w:pitch w:val="variable"/>
    <w:sig w:usb0="00000001"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43391" w14:textId="77777777" w:rsidR="0079429B" w:rsidRDefault="000670A6" w:rsidP="00A45A3A">
    <w:pPr>
      <w:pStyle w:val="Footer"/>
      <w:framePr w:wrap="around" w:vAnchor="text" w:hAnchor="margin" w:xAlign="right" w:y="1"/>
      <w:rPr>
        <w:rStyle w:val="PageNumber"/>
      </w:rPr>
    </w:pPr>
    <w:r>
      <w:rPr>
        <w:rStyle w:val="PageNumber"/>
      </w:rPr>
      <w:fldChar w:fldCharType="begin"/>
    </w:r>
    <w:r w:rsidR="0079429B">
      <w:rPr>
        <w:rStyle w:val="PageNumber"/>
      </w:rPr>
      <w:instrText xml:space="preserve">PAGE  </w:instrText>
    </w:r>
    <w:r>
      <w:rPr>
        <w:rStyle w:val="PageNumber"/>
      </w:rPr>
      <w:fldChar w:fldCharType="end"/>
    </w:r>
  </w:p>
  <w:p w14:paraId="5CEB05B6" w14:textId="77777777" w:rsidR="0079429B" w:rsidRDefault="0079429B" w:rsidP="00A45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F3D55" w14:textId="77777777" w:rsidR="0079429B" w:rsidRDefault="0079429B" w:rsidP="00A45A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B4BAB" w14:textId="77777777" w:rsidR="006F57E9" w:rsidRDefault="006F57E9">
      <w:r>
        <w:separator/>
      </w:r>
    </w:p>
  </w:footnote>
  <w:footnote w:type="continuationSeparator" w:id="0">
    <w:p w14:paraId="7661A2F8" w14:textId="77777777" w:rsidR="006F57E9" w:rsidRDefault="006F5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3114A"/>
    <w:multiLevelType w:val="hybridMultilevel"/>
    <w:tmpl w:val="82A69DBA"/>
    <w:lvl w:ilvl="0" w:tplc="32541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A91454"/>
    <w:multiLevelType w:val="hybridMultilevel"/>
    <w:tmpl w:val="413E4226"/>
    <w:lvl w:ilvl="0" w:tplc="79BEC8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A01D61"/>
    <w:multiLevelType w:val="hybridMultilevel"/>
    <w:tmpl w:val="D86EB41A"/>
    <w:lvl w:ilvl="0" w:tplc="662AF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CD6E5E"/>
    <w:multiLevelType w:val="hybridMultilevel"/>
    <w:tmpl w:val="888A9450"/>
    <w:lvl w:ilvl="0" w:tplc="79BEC8A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36"/>
    <w:rsid w:val="00001164"/>
    <w:rsid w:val="00007356"/>
    <w:rsid w:val="00007947"/>
    <w:rsid w:val="00010240"/>
    <w:rsid w:val="000119B0"/>
    <w:rsid w:val="000213FB"/>
    <w:rsid w:val="00032BFC"/>
    <w:rsid w:val="000339BC"/>
    <w:rsid w:val="00033E48"/>
    <w:rsid w:val="000353F5"/>
    <w:rsid w:val="00036DEA"/>
    <w:rsid w:val="00043BAA"/>
    <w:rsid w:val="00047930"/>
    <w:rsid w:val="00056D0F"/>
    <w:rsid w:val="000670A6"/>
    <w:rsid w:val="0008150E"/>
    <w:rsid w:val="0009219C"/>
    <w:rsid w:val="00093CAB"/>
    <w:rsid w:val="000B2ADD"/>
    <w:rsid w:val="000B5506"/>
    <w:rsid w:val="000D42C5"/>
    <w:rsid w:val="00101067"/>
    <w:rsid w:val="00106CFA"/>
    <w:rsid w:val="0011329A"/>
    <w:rsid w:val="0012632A"/>
    <w:rsid w:val="00132562"/>
    <w:rsid w:val="00134199"/>
    <w:rsid w:val="00134F51"/>
    <w:rsid w:val="00140744"/>
    <w:rsid w:val="0015568D"/>
    <w:rsid w:val="0015708A"/>
    <w:rsid w:val="001576A4"/>
    <w:rsid w:val="0017107E"/>
    <w:rsid w:val="00172462"/>
    <w:rsid w:val="001872FB"/>
    <w:rsid w:val="00192444"/>
    <w:rsid w:val="001A2AEF"/>
    <w:rsid w:val="001A39D5"/>
    <w:rsid w:val="001A7D0B"/>
    <w:rsid w:val="001B1231"/>
    <w:rsid w:val="001B7A78"/>
    <w:rsid w:val="001F1873"/>
    <w:rsid w:val="00202EEC"/>
    <w:rsid w:val="00225D1A"/>
    <w:rsid w:val="0023720C"/>
    <w:rsid w:val="00241D37"/>
    <w:rsid w:val="002460D5"/>
    <w:rsid w:val="002518CF"/>
    <w:rsid w:val="002526D3"/>
    <w:rsid w:val="00254AB8"/>
    <w:rsid w:val="00260014"/>
    <w:rsid w:val="0026138A"/>
    <w:rsid w:val="002636BE"/>
    <w:rsid w:val="002662AB"/>
    <w:rsid w:val="00275824"/>
    <w:rsid w:val="00275D37"/>
    <w:rsid w:val="00291C6E"/>
    <w:rsid w:val="00295B97"/>
    <w:rsid w:val="002A0076"/>
    <w:rsid w:val="002A119C"/>
    <w:rsid w:val="002A2D47"/>
    <w:rsid w:val="002B65F5"/>
    <w:rsid w:val="002B792E"/>
    <w:rsid w:val="002C2164"/>
    <w:rsid w:val="002C2878"/>
    <w:rsid w:val="002C5FC3"/>
    <w:rsid w:val="002C78A4"/>
    <w:rsid w:val="002D44BE"/>
    <w:rsid w:val="002D7720"/>
    <w:rsid w:val="002D7B99"/>
    <w:rsid w:val="002E7458"/>
    <w:rsid w:val="002E7C24"/>
    <w:rsid w:val="002F69DB"/>
    <w:rsid w:val="00301A2E"/>
    <w:rsid w:val="00304982"/>
    <w:rsid w:val="003071DB"/>
    <w:rsid w:val="00315C78"/>
    <w:rsid w:val="0032054A"/>
    <w:rsid w:val="00321D53"/>
    <w:rsid w:val="00326C40"/>
    <w:rsid w:val="0034202B"/>
    <w:rsid w:val="003445EE"/>
    <w:rsid w:val="00352F06"/>
    <w:rsid w:val="003572D2"/>
    <w:rsid w:val="003605F4"/>
    <w:rsid w:val="00360E3E"/>
    <w:rsid w:val="00364BD7"/>
    <w:rsid w:val="00366F36"/>
    <w:rsid w:val="00386E03"/>
    <w:rsid w:val="00387600"/>
    <w:rsid w:val="003963C2"/>
    <w:rsid w:val="003A079B"/>
    <w:rsid w:val="003B61F8"/>
    <w:rsid w:val="003C3F1A"/>
    <w:rsid w:val="003D385E"/>
    <w:rsid w:val="003E487E"/>
    <w:rsid w:val="003F5C45"/>
    <w:rsid w:val="00402CF0"/>
    <w:rsid w:val="0040542C"/>
    <w:rsid w:val="00417413"/>
    <w:rsid w:val="00417495"/>
    <w:rsid w:val="0043408B"/>
    <w:rsid w:val="00436FE3"/>
    <w:rsid w:val="00440BC5"/>
    <w:rsid w:val="0046063B"/>
    <w:rsid w:val="00461420"/>
    <w:rsid w:val="0046579E"/>
    <w:rsid w:val="004721C9"/>
    <w:rsid w:val="00472A3A"/>
    <w:rsid w:val="00475757"/>
    <w:rsid w:val="0047767A"/>
    <w:rsid w:val="00477EBE"/>
    <w:rsid w:val="0048285D"/>
    <w:rsid w:val="004A1048"/>
    <w:rsid w:val="004A2CFA"/>
    <w:rsid w:val="004E3987"/>
    <w:rsid w:val="004E487D"/>
    <w:rsid w:val="004E4FCD"/>
    <w:rsid w:val="004E67A6"/>
    <w:rsid w:val="004E7C08"/>
    <w:rsid w:val="0050023C"/>
    <w:rsid w:val="00510772"/>
    <w:rsid w:val="00511052"/>
    <w:rsid w:val="0051217A"/>
    <w:rsid w:val="005218F0"/>
    <w:rsid w:val="00523333"/>
    <w:rsid w:val="0053106C"/>
    <w:rsid w:val="0053403F"/>
    <w:rsid w:val="00535457"/>
    <w:rsid w:val="0053725F"/>
    <w:rsid w:val="00544E34"/>
    <w:rsid w:val="0056212F"/>
    <w:rsid w:val="00566612"/>
    <w:rsid w:val="00570910"/>
    <w:rsid w:val="00570DAA"/>
    <w:rsid w:val="00572D6D"/>
    <w:rsid w:val="005738AE"/>
    <w:rsid w:val="00577013"/>
    <w:rsid w:val="005943FD"/>
    <w:rsid w:val="005A32C8"/>
    <w:rsid w:val="005C11CB"/>
    <w:rsid w:val="005E09C2"/>
    <w:rsid w:val="005F68DE"/>
    <w:rsid w:val="00601DDD"/>
    <w:rsid w:val="006052C8"/>
    <w:rsid w:val="00607EA2"/>
    <w:rsid w:val="0062331B"/>
    <w:rsid w:val="006260B4"/>
    <w:rsid w:val="0062710B"/>
    <w:rsid w:val="00630B63"/>
    <w:rsid w:val="00634C34"/>
    <w:rsid w:val="006443D3"/>
    <w:rsid w:val="006552F3"/>
    <w:rsid w:val="006632A2"/>
    <w:rsid w:val="00670EEA"/>
    <w:rsid w:val="00672A37"/>
    <w:rsid w:val="00692904"/>
    <w:rsid w:val="006A200B"/>
    <w:rsid w:val="006A68CE"/>
    <w:rsid w:val="006B14F3"/>
    <w:rsid w:val="006B2184"/>
    <w:rsid w:val="006B59B5"/>
    <w:rsid w:val="006D0129"/>
    <w:rsid w:val="006D4DD5"/>
    <w:rsid w:val="006F1A9C"/>
    <w:rsid w:val="006F57E9"/>
    <w:rsid w:val="00706D6B"/>
    <w:rsid w:val="0073734A"/>
    <w:rsid w:val="007465C5"/>
    <w:rsid w:val="007477B2"/>
    <w:rsid w:val="0075064C"/>
    <w:rsid w:val="00755746"/>
    <w:rsid w:val="007574F1"/>
    <w:rsid w:val="00761E6F"/>
    <w:rsid w:val="00762820"/>
    <w:rsid w:val="0076511C"/>
    <w:rsid w:val="00767EAC"/>
    <w:rsid w:val="00776481"/>
    <w:rsid w:val="007826B5"/>
    <w:rsid w:val="00783281"/>
    <w:rsid w:val="007847A6"/>
    <w:rsid w:val="007926CA"/>
    <w:rsid w:val="0079429B"/>
    <w:rsid w:val="007A1B6C"/>
    <w:rsid w:val="007B1039"/>
    <w:rsid w:val="007C0EB8"/>
    <w:rsid w:val="007C58EF"/>
    <w:rsid w:val="007D212A"/>
    <w:rsid w:val="007D518D"/>
    <w:rsid w:val="007E6FBD"/>
    <w:rsid w:val="007F5E37"/>
    <w:rsid w:val="007F672D"/>
    <w:rsid w:val="007F77D0"/>
    <w:rsid w:val="007F7B1A"/>
    <w:rsid w:val="00803005"/>
    <w:rsid w:val="00811D23"/>
    <w:rsid w:val="00816EA9"/>
    <w:rsid w:val="008205F8"/>
    <w:rsid w:val="00843DA9"/>
    <w:rsid w:val="00855B2F"/>
    <w:rsid w:val="00875471"/>
    <w:rsid w:val="00886CFD"/>
    <w:rsid w:val="00887F50"/>
    <w:rsid w:val="008900CB"/>
    <w:rsid w:val="00892403"/>
    <w:rsid w:val="0089294D"/>
    <w:rsid w:val="008929F4"/>
    <w:rsid w:val="00894120"/>
    <w:rsid w:val="008A2DA6"/>
    <w:rsid w:val="008A7CD7"/>
    <w:rsid w:val="008B1304"/>
    <w:rsid w:val="008B6F99"/>
    <w:rsid w:val="008C564B"/>
    <w:rsid w:val="008C62DE"/>
    <w:rsid w:val="008C65B8"/>
    <w:rsid w:val="008D0A4B"/>
    <w:rsid w:val="008D3074"/>
    <w:rsid w:val="008E789D"/>
    <w:rsid w:val="008F0411"/>
    <w:rsid w:val="008F0E1B"/>
    <w:rsid w:val="0090389A"/>
    <w:rsid w:val="009129D5"/>
    <w:rsid w:val="00915845"/>
    <w:rsid w:val="00935078"/>
    <w:rsid w:val="00942EAE"/>
    <w:rsid w:val="009442C6"/>
    <w:rsid w:val="00946FAD"/>
    <w:rsid w:val="009476B3"/>
    <w:rsid w:val="0096591F"/>
    <w:rsid w:val="00971E5E"/>
    <w:rsid w:val="00983B92"/>
    <w:rsid w:val="00991C3E"/>
    <w:rsid w:val="009A096D"/>
    <w:rsid w:val="009A0BFB"/>
    <w:rsid w:val="009A1E31"/>
    <w:rsid w:val="009B1976"/>
    <w:rsid w:val="009C3C08"/>
    <w:rsid w:val="009C7268"/>
    <w:rsid w:val="009D5392"/>
    <w:rsid w:val="009E1BB5"/>
    <w:rsid w:val="009F152D"/>
    <w:rsid w:val="009F7BD5"/>
    <w:rsid w:val="00A007CD"/>
    <w:rsid w:val="00A01FDB"/>
    <w:rsid w:val="00A16E8D"/>
    <w:rsid w:val="00A35B3E"/>
    <w:rsid w:val="00A4330D"/>
    <w:rsid w:val="00A45A3A"/>
    <w:rsid w:val="00A523EB"/>
    <w:rsid w:val="00A548CB"/>
    <w:rsid w:val="00A6270F"/>
    <w:rsid w:val="00A6319E"/>
    <w:rsid w:val="00A728FF"/>
    <w:rsid w:val="00A738B1"/>
    <w:rsid w:val="00A916F1"/>
    <w:rsid w:val="00A9690F"/>
    <w:rsid w:val="00AB7D1C"/>
    <w:rsid w:val="00AC1B2B"/>
    <w:rsid w:val="00AD6131"/>
    <w:rsid w:val="00AF3247"/>
    <w:rsid w:val="00AF34C0"/>
    <w:rsid w:val="00AF67BB"/>
    <w:rsid w:val="00B0438F"/>
    <w:rsid w:val="00B20A73"/>
    <w:rsid w:val="00B27F4C"/>
    <w:rsid w:val="00B33BFF"/>
    <w:rsid w:val="00B37E7F"/>
    <w:rsid w:val="00B462A6"/>
    <w:rsid w:val="00B66DF4"/>
    <w:rsid w:val="00B6782B"/>
    <w:rsid w:val="00B71610"/>
    <w:rsid w:val="00B748CC"/>
    <w:rsid w:val="00B74EB9"/>
    <w:rsid w:val="00B93D05"/>
    <w:rsid w:val="00B94550"/>
    <w:rsid w:val="00B96CBD"/>
    <w:rsid w:val="00BA0F4C"/>
    <w:rsid w:val="00BA2551"/>
    <w:rsid w:val="00BB0696"/>
    <w:rsid w:val="00BB577A"/>
    <w:rsid w:val="00BB796E"/>
    <w:rsid w:val="00BC259D"/>
    <w:rsid w:val="00BC2D3F"/>
    <w:rsid w:val="00BD3124"/>
    <w:rsid w:val="00BD438A"/>
    <w:rsid w:val="00BF1430"/>
    <w:rsid w:val="00BF3009"/>
    <w:rsid w:val="00C02EE6"/>
    <w:rsid w:val="00C069DA"/>
    <w:rsid w:val="00C06A8C"/>
    <w:rsid w:val="00C07E92"/>
    <w:rsid w:val="00C104FF"/>
    <w:rsid w:val="00C1745C"/>
    <w:rsid w:val="00C21DF8"/>
    <w:rsid w:val="00C34AB9"/>
    <w:rsid w:val="00C4255B"/>
    <w:rsid w:val="00C432DA"/>
    <w:rsid w:val="00C4586D"/>
    <w:rsid w:val="00C511B4"/>
    <w:rsid w:val="00C526ED"/>
    <w:rsid w:val="00C578C4"/>
    <w:rsid w:val="00C73DFB"/>
    <w:rsid w:val="00C76DCD"/>
    <w:rsid w:val="00C914A0"/>
    <w:rsid w:val="00C9623D"/>
    <w:rsid w:val="00CA75AC"/>
    <w:rsid w:val="00CB1786"/>
    <w:rsid w:val="00CC16B7"/>
    <w:rsid w:val="00CD063B"/>
    <w:rsid w:val="00CD72E7"/>
    <w:rsid w:val="00CE5F91"/>
    <w:rsid w:val="00CF63FA"/>
    <w:rsid w:val="00CF76A1"/>
    <w:rsid w:val="00D01CCD"/>
    <w:rsid w:val="00D04824"/>
    <w:rsid w:val="00D33B88"/>
    <w:rsid w:val="00D35C88"/>
    <w:rsid w:val="00D41299"/>
    <w:rsid w:val="00D455FA"/>
    <w:rsid w:val="00D53F73"/>
    <w:rsid w:val="00D55040"/>
    <w:rsid w:val="00D64700"/>
    <w:rsid w:val="00D6532E"/>
    <w:rsid w:val="00D72342"/>
    <w:rsid w:val="00D83655"/>
    <w:rsid w:val="00D84FD2"/>
    <w:rsid w:val="00D9058B"/>
    <w:rsid w:val="00DA054B"/>
    <w:rsid w:val="00DA5688"/>
    <w:rsid w:val="00DA5CD6"/>
    <w:rsid w:val="00DB2138"/>
    <w:rsid w:val="00DC2A8E"/>
    <w:rsid w:val="00DD125D"/>
    <w:rsid w:val="00DE09DF"/>
    <w:rsid w:val="00DE4D54"/>
    <w:rsid w:val="00E032AA"/>
    <w:rsid w:val="00E0439E"/>
    <w:rsid w:val="00E11211"/>
    <w:rsid w:val="00E156C5"/>
    <w:rsid w:val="00E21C88"/>
    <w:rsid w:val="00E26D16"/>
    <w:rsid w:val="00E30CDA"/>
    <w:rsid w:val="00E35428"/>
    <w:rsid w:val="00E35CE5"/>
    <w:rsid w:val="00E37B93"/>
    <w:rsid w:val="00E401E3"/>
    <w:rsid w:val="00E458C1"/>
    <w:rsid w:val="00E635F1"/>
    <w:rsid w:val="00E657F2"/>
    <w:rsid w:val="00E67380"/>
    <w:rsid w:val="00E71384"/>
    <w:rsid w:val="00E75968"/>
    <w:rsid w:val="00E812CD"/>
    <w:rsid w:val="00E96591"/>
    <w:rsid w:val="00EA75D1"/>
    <w:rsid w:val="00EC6634"/>
    <w:rsid w:val="00ED13DB"/>
    <w:rsid w:val="00ED54AB"/>
    <w:rsid w:val="00EE4C61"/>
    <w:rsid w:val="00EE60DC"/>
    <w:rsid w:val="00EF299A"/>
    <w:rsid w:val="00EF5E9F"/>
    <w:rsid w:val="00F06616"/>
    <w:rsid w:val="00F15392"/>
    <w:rsid w:val="00F2062B"/>
    <w:rsid w:val="00F2133C"/>
    <w:rsid w:val="00F22614"/>
    <w:rsid w:val="00F25C0B"/>
    <w:rsid w:val="00F4677D"/>
    <w:rsid w:val="00F479C5"/>
    <w:rsid w:val="00F47CDB"/>
    <w:rsid w:val="00F503DB"/>
    <w:rsid w:val="00F62C47"/>
    <w:rsid w:val="00F647CB"/>
    <w:rsid w:val="00F706AE"/>
    <w:rsid w:val="00F821DC"/>
    <w:rsid w:val="00F93F30"/>
    <w:rsid w:val="00FA0FD5"/>
    <w:rsid w:val="00FA3465"/>
    <w:rsid w:val="00FB4E80"/>
    <w:rsid w:val="00FB73C3"/>
    <w:rsid w:val="00FB76CD"/>
    <w:rsid w:val="00FD06E9"/>
    <w:rsid w:val="00FD1D50"/>
    <w:rsid w:val="00FD52F2"/>
    <w:rsid w:val="00FD65EB"/>
    <w:rsid w:val="00FE0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08990"/>
  <w15:docId w15:val="{9C8D3752-8DC1-4F69-8171-64D0B9DD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EA2"/>
    <w:pPr>
      <w:tabs>
        <w:tab w:val="left" w:pos="720"/>
        <w:tab w:val="left" w:pos="1440"/>
        <w:tab w:val="left" w:pos="2160"/>
      </w:tabs>
    </w:pPr>
    <w:rPr>
      <w:rFonts w:ascii="OrigGarmnd BT" w:hAnsi="OrigGarmnd B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47930"/>
    <w:rPr>
      <w:sz w:val="20"/>
    </w:rPr>
  </w:style>
  <w:style w:type="character" w:styleId="FootnoteReference">
    <w:name w:val="footnote reference"/>
    <w:basedOn w:val="DefaultParagraphFont"/>
    <w:semiHidden/>
    <w:rsid w:val="00047930"/>
    <w:rPr>
      <w:vertAlign w:val="superscript"/>
    </w:rPr>
  </w:style>
  <w:style w:type="paragraph" w:styleId="Footer">
    <w:name w:val="footer"/>
    <w:basedOn w:val="Normal"/>
    <w:rsid w:val="00A45A3A"/>
    <w:pPr>
      <w:tabs>
        <w:tab w:val="clear" w:pos="720"/>
        <w:tab w:val="clear" w:pos="1440"/>
        <w:tab w:val="clear" w:pos="2160"/>
        <w:tab w:val="center" w:pos="4320"/>
        <w:tab w:val="right" w:pos="8640"/>
      </w:tabs>
    </w:pPr>
  </w:style>
  <w:style w:type="character" w:styleId="PageNumber">
    <w:name w:val="page number"/>
    <w:basedOn w:val="DefaultParagraphFont"/>
    <w:rsid w:val="00A45A3A"/>
  </w:style>
  <w:style w:type="table" w:styleId="TableGrid">
    <w:name w:val="Table Grid"/>
    <w:basedOn w:val="TableNormal"/>
    <w:uiPriority w:val="59"/>
    <w:rsid w:val="00266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EA2"/>
    <w:pPr>
      <w:tabs>
        <w:tab w:val="clear" w:pos="720"/>
        <w:tab w:val="clear" w:pos="1440"/>
        <w:tab w:val="clear" w:pos="2160"/>
        <w:tab w:val="center" w:pos="4680"/>
        <w:tab w:val="right" w:pos="9360"/>
      </w:tabs>
    </w:pPr>
  </w:style>
  <w:style w:type="character" w:customStyle="1" w:styleId="HeaderChar">
    <w:name w:val="Header Char"/>
    <w:basedOn w:val="DefaultParagraphFont"/>
    <w:link w:val="Header"/>
    <w:uiPriority w:val="99"/>
    <w:rsid w:val="00607EA2"/>
    <w:rPr>
      <w:rFonts w:ascii="OrigGarmnd BT" w:hAnsi="OrigGarmnd BT"/>
      <w:sz w:val="24"/>
    </w:rPr>
  </w:style>
  <w:style w:type="paragraph" w:styleId="ListParagraph">
    <w:name w:val="List Paragraph"/>
    <w:basedOn w:val="Normal"/>
    <w:uiPriority w:val="34"/>
    <w:qFormat/>
    <w:rsid w:val="0015708A"/>
    <w:pPr>
      <w:ind w:left="720"/>
      <w:contextualSpacing/>
    </w:pPr>
  </w:style>
  <w:style w:type="character" w:styleId="Hyperlink">
    <w:name w:val="Hyperlink"/>
    <w:basedOn w:val="DefaultParagraphFont"/>
    <w:uiPriority w:val="99"/>
    <w:unhideWhenUsed/>
    <w:rsid w:val="00FE086C"/>
    <w:rPr>
      <w:color w:val="0000FF" w:themeColor="hyperlink"/>
      <w:u w:val="single"/>
    </w:rPr>
  </w:style>
  <w:style w:type="paragraph" w:styleId="BalloonText">
    <w:name w:val="Balloon Text"/>
    <w:basedOn w:val="Normal"/>
    <w:link w:val="BalloonTextChar"/>
    <w:uiPriority w:val="99"/>
    <w:semiHidden/>
    <w:unhideWhenUsed/>
    <w:rsid w:val="00461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420"/>
    <w:rPr>
      <w:rFonts w:ascii="Segoe UI" w:hAnsi="Segoe UI" w:cs="Segoe UI"/>
      <w:sz w:val="18"/>
      <w:szCs w:val="18"/>
    </w:rPr>
  </w:style>
  <w:style w:type="character" w:styleId="CommentReference">
    <w:name w:val="annotation reference"/>
    <w:basedOn w:val="DefaultParagraphFont"/>
    <w:uiPriority w:val="99"/>
    <w:semiHidden/>
    <w:unhideWhenUsed/>
    <w:rsid w:val="004E67A6"/>
    <w:rPr>
      <w:sz w:val="16"/>
      <w:szCs w:val="16"/>
    </w:rPr>
  </w:style>
  <w:style w:type="paragraph" w:styleId="CommentText">
    <w:name w:val="annotation text"/>
    <w:basedOn w:val="Normal"/>
    <w:link w:val="CommentTextChar"/>
    <w:uiPriority w:val="99"/>
    <w:semiHidden/>
    <w:unhideWhenUsed/>
    <w:rsid w:val="004E67A6"/>
    <w:rPr>
      <w:sz w:val="20"/>
    </w:rPr>
  </w:style>
  <w:style w:type="character" w:customStyle="1" w:styleId="CommentTextChar">
    <w:name w:val="Comment Text Char"/>
    <w:basedOn w:val="DefaultParagraphFont"/>
    <w:link w:val="CommentText"/>
    <w:uiPriority w:val="99"/>
    <w:semiHidden/>
    <w:rsid w:val="004E67A6"/>
    <w:rPr>
      <w:rFonts w:ascii="OrigGarmnd BT" w:hAnsi="OrigGarmnd BT"/>
    </w:rPr>
  </w:style>
  <w:style w:type="paragraph" w:styleId="CommentSubject">
    <w:name w:val="annotation subject"/>
    <w:basedOn w:val="CommentText"/>
    <w:next w:val="CommentText"/>
    <w:link w:val="CommentSubjectChar"/>
    <w:uiPriority w:val="99"/>
    <w:semiHidden/>
    <w:unhideWhenUsed/>
    <w:rsid w:val="004E67A6"/>
    <w:rPr>
      <w:b/>
      <w:bCs/>
    </w:rPr>
  </w:style>
  <w:style w:type="character" w:customStyle="1" w:styleId="CommentSubjectChar">
    <w:name w:val="Comment Subject Char"/>
    <w:basedOn w:val="CommentTextChar"/>
    <w:link w:val="CommentSubject"/>
    <w:uiPriority w:val="99"/>
    <w:semiHidden/>
    <w:rsid w:val="004E67A6"/>
    <w:rPr>
      <w:rFonts w:ascii="OrigGarmnd BT" w:hAnsi="OrigGarmnd B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ood@osba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F5D5F-DD22-413F-B6FD-1565824E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Oregon Board of Bar Examiners</vt:lpstr>
    </vt:vector>
  </TitlesOfParts>
  <Company>Oregon State Bar</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Board of Bar Examiners</dc:title>
  <dc:creator>Jon Benson</dc:creator>
  <cp:lastModifiedBy>Troy Wood</cp:lastModifiedBy>
  <cp:revision>4</cp:revision>
  <cp:lastPrinted>2018-12-08T00:25:00Z</cp:lastPrinted>
  <dcterms:created xsi:type="dcterms:W3CDTF">2018-12-10T17:16:00Z</dcterms:created>
  <dcterms:modified xsi:type="dcterms:W3CDTF">2018-12-11T00:28:00Z</dcterms:modified>
</cp:coreProperties>
</file>